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6DE" w:rsidRPr="005E4D4F" w:rsidRDefault="004C56DE" w:rsidP="004C56DE">
      <w:pPr>
        <w:pStyle w:val="Abstract-Titel"/>
      </w:pPr>
      <w:bookmarkStart w:id="0" w:name="_GoBack"/>
      <w:bookmarkEnd w:id="0"/>
      <w:r>
        <w:t xml:space="preserve">Wasserkraftspeicher als </w:t>
      </w:r>
      <w:proofErr w:type="spellStart"/>
      <w:r>
        <w:t>Enabler</w:t>
      </w:r>
      <w:proofErr w:type="spellEnd"/>
      <w:r>
        <w:t xml:space="preserve"> der Energiewende</w:t>
      </w:r>
    </w:p>
    <w:p w:rsidR="004C56DE" w:rsidRDefault="004C56DE" w:rsidP="004C56DE">
      <w:pPr>
        <w:pStyle w:val="AutorenOrganisation"/>
      </w:pPr>
      <w:r>
        <w:t xml:space="preserve">Themenbereich: </w:t>
      </w:r>
      <w:r w:rsidRPr="00DE7A51">
        <w:t>Energiepolitik</w:t>
      </w:r>
    </w:p>
    <w:p w:rsidR="004C56DE" w:rsidRDefault="004C56DE" w:rsidP="004C56DE">
      <w:pPr>
        <w:pStyle w:val="AutorenOrganisation"/>
        <w:rPr>
          <w:vertAlign w:val="superscript"/>
        </w:rPr>
      </w:pPr>
      <w:r w:rsidRPr="001A3E21">
        <w:rPr>
          <w:b/>
        </w:rPr>
        <w:t>Peter Bauhofer</w:t>
      </w:r>
      <w:r w:rsidRPr="001A3E21">
        <w:rPr>
          <w:b/>
          <w:vertAlign w:val="superscript"/>
        </w:rPr>
        <w:t xml:space="preserve"> </w:t>
      </w:r>
      <w:r w:rsidRPr="00A156E4">
        <w:rPr>
          <w:vertAlign w:val="superscript"/>
        </w:rPr>
        <w:t>(1</w:t>
      </w:r>
      <w:r>
        <w:rPr>
          <w:vertAlign w:val="superscript"/>
        </w:rPr>
        <w:t>)</w:t>
      </w:r>
      <w:r w:rsidRPr="005E4D4F">
        <w:t xml:space="preserve">, </w:t>
      </w:r>
      <w:r>
        <w:t xml:space="preserve">Michael </w:t>
      </w:r>
      <w:proofErr w:type="gramStart"/>
      <w:r>
        <w:t>Zoglauer</w:t>
      </w:r>
      <w:r w:rsidRPr="00A156E4">
        <w:rPr>
          <w:vertAlign w:val="superscript"/>
        </w:rPr>
        <w:t>(</w:t>
      </w:r>
      <w:proofErr w:type="gramEnd"/>
      <w:r>
        <w:rPr>
          <w:vertAlign w:val="superscript"/>
        </w:rPr>
        <w:t>2)</w:t>
      </w:r>
    </w:p>
    <w:p w:rsidR="004C56DE" w:rsidRPr="00E56407" w:rsidRDefault="00041A28" w:rsidP="004C56DE">
      <w:pPr>
        <w:pStyle w:val="AutorenOrganisation"/>
        <w:rPr>
          <w:rStyle w:val="Hyperlink"/>
        </w:rPr>
      </w:pPr>
      <w:hyperlink r:id="rId7" w:history="1">
        <w:r w:rsidR="004C56DE" w:rsidRPr="00E56407">
          <w:rPr>
            <w:rStyle w:val="Hyperlink"/>
          </w:rPr>
          <w:t>peter.bauhofer@tiwag.at</w:t>
        </w:r>
      </w:hyperlink>
      <w:r w:rsidR="004C56DE" w:rsidRPr="00E56407">
        <w:rPr>
          <w:rStyle w:val="Hyperlink"/>
        </w:rPr>
        <w:t xml:space="preserve">; </w:t>
      </w:r>
      <w:hyperlink r:id="rId8" w:history="1">
        <w:r w:rsidR="004C56DE" w:rsidRPr="00B87C6C">
          <w:rPr>
            <w:rStyle w:val="Hyperlink"/>
          </w:rPr>
          <w:t>michael.zoglauer@tiwag.at</w:t>
        </w:r>
      </w:hyperlink>
      <w:r w:rsidR="004C56DE" w:rsidRPr="00E56407">
        <w:rPr>
          <w:rStyle w:val="Hyperlink"/>
        </w:rPr>
        <w:t xml:space="preserve"> </w:t>
      </w:r>
    </w:p>
    <w:p w:rsidR="004C56DE" w:rsidRDefault="004C56DE" w:rsidP="004C56DE">
      <w:pPr>
        <w:pStyle w:val="AutorenOrganisation"/>
      </w:pPr>
      <w:r>
        <w:rPr>
          <w:vertAlign w:val="superscript"/>
        </w:rPr>
        <w:t>(</w:t>
      </w:r>
      <w:r w:rsidRPr="00010E92">
        <w:rPr>
          <w:vertAlign w:val="superscript"/>
        </w:rPr>
        <w:t>1</w:t>
      </w:r>
      <w:r>
        <w:rPr>
          <w:vertAlign w:val="superscript"/>
        </w:rPr>
        <w:t xml:space="preserve">) </w:t>
      </w:r>
      <w:r w:rsidRPr="00A156E4">
        <w:rPr>
          <w:vertAlign w:val="superscript"/>
        </w:rPr>
        <w:t>(</w:t>
      </w:r>
      <w:r w:rsidRPr="00010E92">
        <w:rPr>
          <w:vertAlign w:val="superscript"/>
        </w:rPr>
        <w:t>2</w:t>
      </w:r>
      <w:r>
        <w:rPr>
          <w:vertAlign w:val="superscript"/>
        </w:rPr>
        <w:t>)</w:t>
      </w:r>
      <w:r>
        <w:t xml:space="preserve"> TIWAG, Abt. Energiestrategie und Energieeffizienz</w:t>
      </w:r>
    </w:p>
    <w:p w:rsidR="004C56DE" w:rsidRDefault="004C56DE" w:rsidP="004C56DE">
      <w:pPr>
        <w:jc w:val="left"/>
        <w:rPr>
          <w:lang w:val="de-AT"/>
        </w:rPr>
      </w:pPr>
    </w:p>
    <w:p w:rsidR="004C56DE" w:rsidRDefault="004C56DE" w:rsidP="004C56DE">
      <w:pPr>
        <w:jc w:val="left"/>
        <w:rPr>
          <w:lang w:val="de-AT"/>
        </w:rPr>
      </w:pPr>
      <w:r>
        <w:rPr>
          <w:lang w:val="de-AT"/>
        </w:rPr>
        <w:t xml:space="preserve">Key Words: Energiewende, Nachhaltigkeit, IKES 2030, Wasserkraft, Pumpspeicher, Residuallast, Systemstabilität, Versorgungssicherheit, Flexibilität, Gradient, </w:t>
      </w:r>
      <w:proofErr w:type="spellStart"/>
      <w:r>
        <w:rPr>
          <w:lang w:val="de-AT"/>
        </w:rPr>
        <w:t>Prosumer</w:t>
      </w:r>
      <w:proofErr w:type="spellEnd"/>
    </w:p>
    <w:p w:rsidR="004C56DE" w:rsidRPr="005E4D4F" w:rsidRDefault="004C56DE" w:rsidP="004C56DE">
      <w:pPr>
        <w:jc w:val="left"/>
        <w:rPr>
          <w:lang w:val="de-AT"/>
        </w:rPr>
      </w:pPr>
    </w:p>
    <w:p w:rsidR="004C56DE" w:rsidRPr="005E4D4F" w:rsidRDefault="004C56DE" w:rsidP="004C56DE">
      <w:pPr>
        <w:pStyle w:val="Ueberschrift"/>
        <w:jc w:val="left"/>
      </w:pPr>
      <w:r w:rsidRPr="005E4D4F">
        <w:t>Motivation und zentrale Fragestellung</w:t>
      </w:r>
      <w:r>
        <w:t xml:space="preserve"> </w:t>
      </w:r>
    </w:p>
    <w:p w:rsidR="004C56DE" w:rsidRDefault="004C56DE" w:rsidP="004C56DE">
      <w:pPr>
        <w:jc w:val="left"/>
        <w:rPr>
          <w:rFonts w:cs="Arial"/>
          <w:szCs w:val="20"/>
          <w:lang w:val="de-AT"/>
        </w:rPr>
      </w:pPr>
      <w:r w:rsidRPr="00E45031">
        <w:rPr>
          <w:rFonts w:cs="Arial"/>
          <w:szCs w:val="20"/>
          <w:lang w:val="de-AT"/>
        </w:rPr>
        <w:t xml:space="preserve">Wasserkraft, volatile Quellen wie Windkraft und Photovoltaik </w:t>
      </w:r>
      <w:r>
        <w:rPr>
          <w:rFonts w:cs="Arial"/>
          <w:szCs w:val="20"/>
          <w:lang w:val="de-AT"/>
        </w:rPr>
        <w:t xml:space="preserve">und </w:t>
      </w:r>
      <w:r w:rsidRPr="00E45031">
        <w:rPr>
          <w:rFonts w:cs="Arial"/>
          <w:szCs w:val="20"/>
          <w:lang w:val="de-AT"/>
        </w:rPr>
        <w:t xml:space="preserve">in beschränktem Maß Biomasse </w:t>
      </w:r>
      <w:r>
        <w:rPr>
          <w:rFonts w:cs="Arial"/>
          <w:szCs w:val="20"/>
          <w:lang w:val="de-AT"/>
        </w:rPr>
        <w:t>sind die strategischen</w:t>
      </w:r>
      <w:r w:rsidRPr="00E45031">
        <w:rPr>
          <w:rFonts w:cs="Arial"/>
          <w:szCs w:val="20"/>
          <w:lang w:val="de-AT"/>
        </w:rPr>
        <w:t xml:space="preserve"> Säulen für die </w:t>
      </w:r>
      <w:r>
        <w:rPr>
          <w:rFonts w:cs="Arial"/>
          <w:szCs w:val="20"/>
          <w:lang w:val="de-AT"/>
        </w:rPr>
        <w:t xml:space="preserve">nachhaltige </w:t>
      </w:r>
      <w:r w:rsidRPr="00E45031">
        <w:rPr>
          <w:rFonts w:cs="Arial"/>
          <w:szCs w:val="20"/>
          <w:lang w:val="de-AT"/>
        </w:rPr>
        <w:t>Stromerzeugung</w:t>
      </w:r>
      <w:r>
        <w:rPr>
          <w:rFonts w:cs="Arial"/>
          <w:szCs w:val="20"/>
          <w:lang w:val="de-AT"/>
        </w:rPr>
        <w:t xml:space="preserve"> des 21. Jahrhunderts.</w:t>
      </w:r>
      <w:r w:rsidRPr="00E45031">
        <w:rPr>
          <w:rFonts w:cs="Arial"/>
          <w:szCs w:val="20"/>
          <w:lang w:val="de-AT"/>
        </w:rPr>
        <w:t xml:space="preserve"> </w:t>
      </w:r>
      <w:r>
        <w:rPr>
          <w:rFonts w:cs="Arial"/>
          <w:szCs w:val="20"/>
          <w:lang w:val="de-AT"/>
        </w:rPr>
        <w:br/>
      </w:r>
      <w:proofErr w:type="spellStart"/>
      <w:r w:rsidRPr="00E45031">
        <w:rPr>
          <w:rFonts w:cs="Arial"/>
          <w:szCs w:val="20"/>
          <w:lang w:val="de-AT"/>
        </w:rPr>
        <w:t>Sektorkopplung</w:t>
      </w:r>
      <w:proofErr w:type="spellEnd"/>
      <w:r>
        <w:rPr>
          <w:rFonts w:cs="Arial"/>
          <w:szCs w:val="20"/>
          <w:lang w:val="de-AT"/>
        </w:rPr>
        <w:t xml:space="preserve">, </w:t>
      </w:r>
      <w:proofErr w:type="spellStart"/>
      <w:r>
        <w:rPr>
          <w:rFonts w:cs="Arial"/>
          <w:szCs w:val="20"/>
          <w:lang w:val="de-AT"/>
        </w:rPr>
        <w:t>Prosumer</w:t>
      </w:r>
      <w:proofErr w:type="spellEnd"/>
      <w:r w:rsidRPr="00E45031">
        <w:rPr>
          <w:rFonts w:cs="Arial"/>
          <w:szCs w:val="20"/>
          <w:lang w:val="de-AT"/>
        </w:rPr>
        <w:t xml:space="preserve"> und Digitalisierung </w:t>
      </w:r>
      <w:r>
        <w:rPr>
          <w:rFonts w:cs="Arial"/>
          <w:szCs w:val="20"/>
          <w:lang w:val="de-AT"/>
        </w:rPr>
        <w:t xml:space="preserve">werden darüber hinaus </w:t>
      </w:r>
      <w:r w:rsidRPr="00E45031">
        <w:rPr>
          <w:rFonts w:cs="Arial"/>
          <w:szCs w:val="20"/>
          <w:lang w:val="de-AT"/>
        </w:rPr>
        <w:t>zur beliebigen Steigerung der Komplexität</w:t>
      </w:r>
      <w:r>
        <w:rPr>
          <w:rFonts w:cs="Arial"/>
          <w:szCs w:val="20"/>
          <w:lang w:val="de-AT"/>
        </w:rPr>
        <w:t xml:space="preserve"> und Dynamik im Energiesystem </w:t>
      </w:r>
      <w:r w:rsidRPr="00E45031">
        <w:rPr>
          <w:rFonts w:cs="Arial"/>
          <w:szCs w:val="20"/>
          <w:lang w:val="de-AT"/>
        </w:rPr>
        <w:t>bei</w:t>
      </w:r>
      <w:r>
        <w:rPr>
          <w:rFonts w:cs="Arial"/>
          <w:szCs w:val="20"/>
          <w:lang w:val="de-AT"/>
        </w:rPr>
        <w:t>tragen</w:t>
      </w:r>
      <w:r w:rsidRPr="00E45031">
        <w:rPr>
          <w:rFonts w:cs="Arial"/>
          <w:szCs w:val="20"/>
          <w:lang w:val="de-AT"/>
        </w:rPr>
        <w:t>. Mehr gefragt denn je sind effiziente und zuverläss</w:t>
      </w:r>
      <w:r>
        <w:rPr>
          <w:rFonts w:cs="Arial"/>
          <w:szCs w:val="20"/>
          <w:lang w:val="de-AT"/>
        </w:rPr>
        <w:t>ige Lösungen</w:t>
      </w:r>
      <w:r w:rsidRPr="00E45031">
        <w:rPr>
          <w:rFonts w:cs="Arial"/>
          <w:szCs w:val="20"/>
          <w:lang w:val="de-AT"/>
        </w:rPr>
        <w:t xml:space="preserve"> zur jederzeitigen Stabilisierung des </w:t>
      </w:r>
      <w:r>
        <w:rPr>
          <w:rFonts w:cs="Arial"/>
          <w:szCs w:val="20"/>
          <w:lang w:val="de-AT"/>
        </w:rPr>
        <w:t>Elektro-Energiesystems und damit zur</w:t>
      </w:r>
      <w:r w:rsidRPr="00E45031">
        <w:rPr>
          <w:rFonts w:cs="Arial"/>
          <w:szCs w:val="20"/>
          <w:lang w:val="de-AT"/>
        </w:rPr>
        <w:t xml:space="preserve"> Sicherstellung der </w:t>
      </w:r>
      <w:r>
        <w:rPr>
          <w:rFonts w:cs="Arial"/>
          <w:szCs w:val="20"/>
          <w:lang w:val="de-AT"/>
        </w:rPr>
        <w:t>V</w:t>
      </w:r>
      <w:r w:rsidRPr="00E45031">
        <w:rPr>
          <w:rFonts w:cs="Arial"/>
          <w:szCs w:val="20"/>
          <w:lang w:val="de-AT"/>
        </w:rPr>
        <w:t xml:space="preserve">ersorgungssicherheit. </w:t>
      </w:r>
      <w:r>
        <w:rPr>
          <w:rFonts w:cs="Arial"/>
          <w:szCs w:val="20"/>
          <w:lang w:val="de-AT"/>
        </w:rPr>
        <w:t>Zu den Zielsetzungen der Österreichischen Klima- und Energiestrategie (IKES 2030) werden folgende Fragen beantwortet:</w:t>
      </w:r>
      <w:r>
        <w:rPr>
          <w:rFonts w:cs="Arial"/>
          <w:szCs w:val="20"/>
          <w:lang w:val="de-AT"/>
        </w:rPr>
        <w:br/>
      </w:r>
    </w:p>
    <w:p w:rsidR="004C56DE" w:rsidRPr="00B21CA2" w:rsidRDefault="004C56DE" w:rsidP="004C56DE">
      <w:pPr>
        <w:numPr>
          <w:ilvl w:val="0"/>
          <w:numId w:val="12"/>
        </w:numPr>
        <w:jc w:val="left"/>
      </w:pPr>
      <w:r>
        <w:rPr>
          <w:lang w:val="de-AT"/>
        </w:rPr>
        <w:t>Wie entwickeln sich die wesentlichen Parameter der Residuallast?</w:t>
      </w:r>
    </w:p>
    <w:p w:rsidR="004C56DE" w:rsidRDefault="004C56DE" w:rsidP="004C56DE">
      <w:pPr>
        <w:numPr>
          <w:ilvl w:val="0"/>
          <w:numId w:val="12"/>
        </w:numPr>
        <w:jc w:val="left"/>
      </w:pPr>
      <w:r>
        <w:t>Wie wirken dezentrale Speicher auf die Residuallast des öffentlichen Netzes?</w:t>
      </w:r>
    </w:p>
    <w:p w:rsidR="004C56DE" w:rsidRDefault="004C56DE" w:rsidP="004C56DE">
      <w:pPr>
        <w:numPr>
          <w:ilvl w:val="0"/>
          <w:numId w:val="12"/>
        </w:numPr>
        <w:jc w:val="left"/>
      </w:pPr>
      <w:r>
        <w:t xml:space="preserve">Welche </w:t>
      </w:r>
      <w:proofErr w:type="spellStart"/>
      <w:r>
        <w:t>Benefits</w:t>
      </w:r>
      <w:proofErr w:type="spellEnd"/>
      <w:r>
        <w:t xml:space="preserve"> hat die Wasserkraft für das Energiesystem?</w:t>
      </w:r>
    </w:p>
    <w:p w:rsidR="004C56DE" w:rsidRPr="00E45031" w:rsidRDefault="004C56DE" w:rsidP="004C56DE">
      <w:pPr>
        <w:jc w:val="left"/>
        <w:rPr>
          <w:rFonts w:cs="Arial"/>
          <w:szCs w:val="20"/>
          <w:lang w:val="de-AT"/>
        </w:rPr>
      </w:pPr>
    </w:p>
    <w:p w:rsidR="004C56DE" w:rsidRPr="005E4D4F" w:rsidRDefault="004C56DE" w:rsidP="004C56DE">
      <w:pPr>
        <w:pStyle w:val="Ueberschrift"/>
        <w:jc w:val="left"/>
      </w:pPr>
      <w:r w:rsidRPr="005E4D4F">
        <w:t>Methodische Vorgangsweise</w:t>
      </w:r>
    </w:p>
    <w:p w:rsidR="004C56DE" w:rsidRDefault="004C56DE" w:rsidP="004C56DE">
      <w:pPr>
        <w:jc w:val="left"/>
      </w:pPr>
      <w:r>
        <w:t xml:space="preserve">Dank der heimischen Wasserkraft nimmt Österreich mit mehr als 72 % Erneuerbaren Anteil an der Stromerzeugung den Spitzenplatz innerhalb der EU 28 (aktueller EU-Durchschnitt aktuell ca. 33 %, Deutschland ca. 35 %) ein und trägt darüber hinaus signifikant zur Stabilisierung und damit zur Versorgungssicherheit des europäischen Verbundsystems bei. </w:t>
      </w:r>
    </w:p>
    <w:p w:rsidR="004C56DE" w:rsidRDefault="004C56DE" w:rsidP="004C56DE">
      <w:pPr>
        <w:jc w:val="left"/>
      </w:pPr>
      <w:r>
        <w:br/>
        <w:t>Die energiepolitische Zielsetzung Österreichs (IKES 2030) sieht per Jahressaldo die vollständige Versorgung auf Basis erneuerbarer, heimischer Quellen vor (100 % RES-E</w:t>
      </w:r>
      <w:r>
        <w:rPr>
          <w:rStyle w:val="Funotenzeichen"/>
        </w:rPr>
        <w:footnoteReference w:id="1"/>
      </w:r>
      <w:r>
        <w:t xml:space="preserve"> Anteil). </w:t>
      </w:r>
      <w:r>
        <w:br/>
        <w:t xml:space="preserve">Für deren Erfüllung in den kommenden elf Jahren sind folgende Ausbauziele in Überlegung: </w:t>
      </w:r>
      <w:r>
        <w:br/>
        <w:t xml:space="preserve">Wasserkraft + ca. 6-8 </w:t>
      </w:r>
      <w:proofErr w:type="spellStart"/>
      <w:r>
        <w:t>TWh</w:t>
      </w:r>
      <w:proofErr w:type="spellEnd"/>
      <w:r>
        <w:t xml:space="preserve">, Wind + ca. 12-13 </w:t>
      </w:r>
      <w:proofErr w:type="spellStart"/>
      <w:r>
        <w:t>TWh</w:t>
      </w:r>
      <w:proofErr w:type="spellEnd"/>
      <w:r>
        <w:t xml:space="preserve">, PV + ca. 12-13 </w:t>
      </w:r>
      <w:proofErr w:type="spellStart"/>
      <w:r>
        <w:t>TWh</w:t>
      </w:r>
      <w:proofErr w:type="spellEnd"/>
      <w:r>
        <w:t xml:space="preserve">. Die </w:t>
      </w:r>
      <w:proofErr w:type="spellStart"/>
      <w:r>
        <w:t>Dekarbonisierung</w:t>
      </w:r>
      <w:proofErr w:type="spellEnd"/>
      <w:r>
        <w:t xml:space="preserve"> von Wärme und Verkehr lässt gleichzeitig eine beträchtliche Strombedarfssteigerung auf über 80 </w:t>
      </w:r>
      <w:proofErr w:type="spellStart"/>
      <w:r>
        <w:t>TWh</w:t>
      </w:r>
      <w:proofErr w:type="spellEnd"/>
      <w:r>
        <w:t xml:space="preserve"> erwarten. </w:t>
      </w:r>
    </w:p>
    <w:p w:rsidR="004C56DE" w:rsidRDefault="004C56DE" w:rsidP="004C56DE">
      <w:pPr>
        <w:jc w:val="left"/>
      </w:pPr>
    </w:p>
    <w:p w:rsidR="004C56DE" w:rsidRPr="005E4D4F" w:rsidRDefault="004C56DE" w:rsidP="004C56DE">
      <w:pPr>
        <w:jc w:val="left"/>
      </w:pPr>
      <w:r>
        <w:t xml:space="preserve">Mit Hilfe der Residuallastanalyse werden auf Basis zeitlich hoch aufgelöster Istwert-Zeitreihen die wesentlichen Parameter der Residuallast des öffentlichen Netzes in ihrer Größenordnung geschätzt. Die Gesamtheit dezentraler </w:t>
      </w:r>
      <w:proofErr w:type="spellStart"/>
      <w:r>
        <w:t>Prosumer</w:t>
      </w:r>
      <w:proofErr w:type="spellEnd"/>
      <w:r>
        <w:t xml:space="preserve"> im Gebäudebereich ist in vereinfachter Form als aktives Ersatzelement (Nettobezug, Nettorückspeisung) berücksichtigt. Die Istwerte für die Stützjahre sind linear skaliert. Daraus werden Rückschlüsse für den Flexibilisierungsbedarf gezogen und die Bedeutung bestehender und neuer Flexibilisierungstechnologien, insbesondere der alpinen Wasserkraft quantifiziert.</w:t>
      </w:r>
      <w:r>
        <w:br/>
      </w:r>
    </w:p>
    <w:p w:rsidR="004C56DE" w:rsidRPr="00E0451B" w:rsidRDefault="004C56DE" w:rsidP="004C56DE">
      <w:pPr>
        <w:pStyle w:val="Ueberschrift"/>
        <w:jc w:val="left"/>
      </w:pPr>
      <w:r w:rsidRPr="00E0451B">
        <w:t xml:space="preserve">Ergebnisse und Schlussfolgerungen </w:t>
      </w:r>
    </w:p>
    <w:p w:rsidR="004C56DE" w:rsidRDefault="004C56DE" w:rsidP="004C56DE">
      <w:pPr>
        <w:jc w:val="left"/>
      </w:pPr>
      <w:r>
        <w:t>Künftig erfolgt im Sommer der Residuallast</w:t>
      </w:r>
      <w:r w:rsidRPr="00E0451B">
        <w:t xml:space="preserve">. Der Sommerüberschuss in 2030 im Ausmaß von </w:t>
      </w:r>
      <w:r>
        <w:t xml:space="preserve">etwa </w:t>
      </w:r>
    </w:p>
    <w:p w:rsidR="004C56DE" w:rsidRPr="001D3258" w:rsidRDefault="004C56DE" w:rsidP="004C56DE">
      <w:pPr>
        <w:jc w:val="left"/>
      </w:pPr>
      <w:r>
        <w:t>6-</w:t>
      </w:r>
      <w:r w:rsidRPr="00E0451B">
        <w:t xml:space="preserve">7 </w:t>
      </w:r>
      <w:proofErr w:type="spellStart"/>
      <w:r w:rsidRPr="00E0451B">
        <w:t>TWh</w:t>
      </w:r>
      <w:proofErr w:type="spellEnd"/>
      <w:r w:rsidRPr="00E0451B">
        <w:t xml:space="preserve"> ist in den restlichen Monaten möglichst verlustarm in geeigneter Form wieder zuzuführen (Langzeitflexibilität). Infolge des angestrebten, hohen Anteils an volatiler Erzeugung</w:t>
      </w:r>
      <w:r>
        <w:t>, insbesondere der PV</w:t>
      </w:r>
      <w:r w:rsidRPr="00E0451B">
        <w:t xml:space="preserve"> (RES-E Ziel 100 % bereits bis 2030, PV-Anteil bis zu 17 %)</w:t>
      </w:r>
      <w:r>
        <w:t>,</w:t>
      </w:r>
      <w:r w:rsidRPr="00E0451B">
        <w:t xml:space="preserve"> wird Österreichs Elektroenergiesystem bereits in 2030 einem wesentlich intensiveren Stresstest unterzogen, als dies etwa für Deutschland zu erwarten ist (RES-E Ziel 80 - 90 % erst bis 2050, PV-Anteil bis 15 %</w:t>
      </w:r>
      <w:r>
        <w:t xml:space="preserve">, </w:t>
      </w:r>
      <w:r w:rsidRPr="00E0451B">
        <w:t>2030 bis 7 %</w:t>
      </w:r>
      <w:r w:rsidRPr="00E0451B">
        <w:rPr>
          <w:rStyle w:val="Funotenzeichen"/>
        </w:rPr>
        <w:footnoteReference w:id="2"/>
      </w:r>
      <w:r>
        <w:t xml:space="preserve">). </w:t>
      </w:r>
      <w:r w:rsidRPr="00E0451B">
        <w:t>S</w:t>
      </w:r>
      <w:r>
        <w:t>chlussfolgerungen und Strategieansätze sind</w:t>
      </w:r>
      <w:r w:rsidRPr="00E0451B">
        <w:t xml:space="preserve"> von der deutschen auf die österre</w:t>
      </w:r>
      <w:r>
        <w:t>ichische Situation nicht übertragbar.</w:t>
      </w:r>
      <w:r w:rsidRPr="00E0451B">
        <w:t xml:space="preserve"> Der Gradient der Residuallast erhöht sich bis 2030 signifikant im mittleren und </w:t>
      </w:r>
      <w:r>
        <w:t>hohen Leistungssegment und nimmt</w:t>
      </w:r>
      <w:r w:rsidRPr="00E0451B">
        <w:t xml:space="preserve"> vor allem im negativen Bereich </w:t>
      </w:r>
      <w:r>
        <w:t>auf Maximalw</w:t>
      </w:r>
      <w:r w:rsidRPr="00E0451B">
        <w:t xml:space="preserve">erte um die </w:t>
      </w:r>
      <w:r w:rsidR="004347CF">
        <w:t>4</w:t>
      </w:r>
      <w:r>
        <w:t xml:space="preserve"> GW pro Stunde zu</w:t>
      </w:r>
      <w:r w:rsidRPr="00E0451B">
        <w:t xml:space="preserve">. </w:t>
      </w:r>
      <w:r>
        <w:t xml:space="preserve">Damit erhöht sich die </w:t>
      </w:r>
      <w:r w:rsidRPr="00E0451B">
        <w:t>Stand</w:t>
      </w:r>
      <w:r>
        <w:t>ardabweichung der Gradienten um etwa den Faktor 1,3</w:t>
      </w:r>
      <w:r w:rsidRPr="00E0451B">
        <w:t xml:space="preserve">. Ebenfalls </w:t>
      </w:r>
      <w:r w:rsidRPr="00E0451B">
        <w:lastRenderedPageBreak/>
        <w:t>wachsen für die negative Residuallast die Leistungsmaxima exponentiell. Hier sind in 2030 Werte bis zu 1</w:t>
      </w:r>
      <w:r w:rsidR="004347CF">
        <w:t>0</w:t>
      </w:r>
      <w:r w:rsidRPr="00E0451B">
        <w:t xml:space="preserve"> GW zu erwarten (Kurzzeitflexibilität). </w:t>
      </w:r>
      <w:r w:rsidR="006F2298">
        <w:t>Bald nach 2030 ergibt sich bereits</w:t>
      </w:r>
      <w:r w:rsidRPr="00E0451B">
        <w:t xml:space="preserve"> eine Verdreifachung gegenüber heute. Die Standardabweichung nimmt um etwa das 1,5-Fache zu. Erzeugungs-überschüsse v.a. aus Last armen Zeiten (Wochenende, …) sind durch die natürlichen Gegebenheiten der Erneuerbaren determiniert und wollen wochentags der Lastdeckung zur Verfügung stehen (Mittelfristflexibilität). Die Summe der Blockdauern der n</w:t>
      </w:r>
      <w:r>
        <w:t>egativen Residuallast wächst ca.</w:t>
      </w:r>
      <w:r w:rsidRPr="00E0451B">
        <w:t xml:space="preserve"> um Faktor 3.</w:t>
      </w:r>
    </w:p>
    <w:p w:rsidR="004C56DE" w:rsidRDefault="004C56DE" w:rsidP="004C56DE">
      <w:pPr>
        <w:pStyle w:val="Abbildungsbeschriftung"/>
        <w:jc w:val="left"/>
      </w:pPr>
    </w:p>
    <w:tbl>
      <w:tblPr>
        <w:tblW w:w="0" w:type="auto"/>
        <w:tblLayout w:type="fixed"/>
        <w:tblLook w:val="04A0" w:firstRow="1" w:lastRow="0" w:firstColumn="1" w:lastColumn="0" w:noHBand="0" w:noVBand="1"/>
      </w:tblPr>
      <w:tblGrid>
        <w:gridCol w:w="4644"/>
        <w:gridCol w:w="4644"/>
      </w:tblGrid>
      <w:tr w:rsidR="004C56DE" w:rsidTr="0081325F">
        <w:trPr>
          <w:trHeight w:val="3125"/>
        </w:trPr>
        <w:tc>
          <w:tcPr>
            <w:tcW w:w="4644" w:type="dxa"/>
            <w:shd w:val="clear" w:color="auto" w:fill="auto"/>
          </w:tcPr>
          <w:p w:rsidR="004C56DE" w:rsidRDefault="004C56DE" w:rsidP="0081325F">
            <w:pPr>
              <w:jc w:val="center"/>
              <w:rPr>
                <w:lang w:val="de-AT"/>
              </w:rPr>
            </w:pPr>
            <w:r>
              <w:rPr>
                <w:i/>
                <w:noProof/>
                <w:lang w:val="de-AT" w:eastAsia="de-AT"/>
              </w:rPr>
              <mc:AlternateContent>
                <mc:Choice Requires="wps">
                  <w:drawing>
                    <wp:anchor distT="0" distB="0" distL="114300" distR="114300" simplePos="0" relativeHeight="251659264" behindDoc="0" locked="0" layoutInCell="1" allowOverlap="1">
                      <wp:simplePos x="0" y="0"/>
                      <wp:positionH relativeFrom="column">
                        <wp:posOffset>1691005</wp:posOffset>
                      </wp:positionH>
                      <wp:positionV relativeFrom="paragraph">
                        <wp:posOffset>33655</wp:posOffset>
                      </wp:positionV>
                      <wp:extent cx="914400" cy="447675"/>
                      <wp:effectExtent l="581025" t="6350" r="9525" b="165100"/>
                      <wp:wrapNone/>
                      <wp:docPr id="4" name="Legende mit Linie 1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47675"/>
                              </a:xfrm>
                              <a:prstGeom prst="borderCallout1">
                                <a:avLst>
                                  <a:gd name="adj1" fmla="val 25532"/>
                                  <a:gd name="adj2" fmla="val -8333"/>
                                  <a:gd name="adj3" fmla="val 134042"/>
                                  <a:gd name="adj4" fmla="val -62500"/>
                                </a:avLst>
                              </a:prstGeom>
                              <a:solidFill>
                                <a:srgbClr val="FFFFFF"/>
                              </a:solidFill>
                              <a:ln w="9525">
                                <a:solidFill>
                                  <a:srgbClr val="000000"/>
                                </a:solidFill>
                                <a:miter lim="800000"/>
                                <a:headEnd/>
                                <a:tailEnd/>
                              </a:ln>
                            </wps:spPr>
                            <wps:txbx>
                              <w:txbxContent>
                                <w:p w:rsidR="004C56DE" w:rsidRPr="001D3258" w:rsidRDefault="004C56DE" w:rsidP="004C56DE">
                                  <w:pPr>
                                    <w:rPr>
                                      <w:sz w:val="16"/>
                                      <w:szCs w:val="16"/>
                                      <w:lang w:val="de-AT"/>
                                    </w:rPr>
                                  </w:pPr>
                                  <w:r w:rsidRPr="001D3258">
                                    <w:rPr>
                                      <w:sz w:val="16"/>
                                      <w:szCs w:val="16"/>
                                      <w:lang w:val="de-AT"/>
                                    </w:rPr>
                                    <w:t>Sommerüber</w:t>
                                  </w:r>
                                  <w:r>
                                    <w:rPr>
                                      <w:sz w:val="16"/>
                                      <w:szCs w:val="16"/>
                                      <w:lang w:val="de-AT"/>
                                    </w:rPr>
                                    <w:t>-</w:t>
                                  </w:r>
                                  <w:r w:rsidRPr="001D3258">
                                    <w:rPr>
                                      <w:sz w:val="16"/>
                                      <w:szCs w:val="16"/>
                                      <w:lang w:val="de-AT"/>
                                    </w:rPr>
                                    <w:t xml:space="preserve">schuss </w:t>
                                  </w:r>
                                  <w:r>
                                    <w:rPr>
                                      <w:sz w:val="16"/>
                                      <w:szCs w:val="16"/>
                                      <w:lang w:val="de-AT"/>
                                    </w:rPr>
                                    <w:br/>
                                  </w:r>
                                  <w:r w:rsidRPr="001D3258">
                                    <w:rPr>
                                      <w:sz w:val="16"/>
                                      <w:szCs w:val="16"/>
                                      <w:lang w:val="de-AT"/>
                                    </w:rPr>
                                    <w:t xml:space="preserve">ca. 7 </w:t>
                                  </w:r>
                                  <w:proofErr w:type="spellStart"/>
                                  <w:r w:rsidRPr="001D3258">
                                    <w:rPr>
                                      <w:sz w:val="16"/>
                                      <w:szCs w:val="16"/>
                                      <w:lang w:val="de-AT"/>
                                    </w:rPr>
                                    <w:t>TWh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egende mit Linie 1 4" o:spid="_x0000_s1026" type="#_x0000_t47" style="position:absolute;left:0;text-align:left;margin-left:133.15pt;margin-top:2.65pt;width:1in;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" adj="-13500,28953,,5515">
                      <v:textbox>
                        <w:txbxContent>
                          <w:p w:rsidR="004C56DE" w:rsidRPr="001D3258" w:rsidRDefault="004C56DE" w:rsidP="004C56DE">
                            <w:pPr>
                              <w:rPr>
                                <w:sz w:val="16"/>
                                <w:szCs w:val="16"/>
                                <w:lang w:val="de-AT"/>
                              </w:rPr>
                            </w:pPr>
                            <w:r w:rsidRPr="001D3258">
                              <w:rPr>
                                <w:sz w:val="16"/>
                                <w:szCs w:val="16"/>
                                <w:lang w:val="de-AT"/>
                              </w:rPr>
                              <w:t>Sommerüber</w:t>
                            </w:r>
                            <w:r>
                              <w:rPr>
                                <w:sz w:val="16"/>
                                <w:szCs w:val="16"/>
                                <w:lang w:val="de-AT"/>
                              </w:rPr>
                              <w:t>-</w:t>
                            </w:r>
                            <w:r w:rsidRPr="001D3258">
                              <w:rPr>
                                <w:sz w:val="16"/>
                                <w:szCs w:val="16"/>
                                <w:lang w:val="de-AT"/>
                              </w:rPr>
                              <w:t xml:space="preserve">schuss </w:t>
                            </w:r>
                            <w:r>
                              <w:rPr>
                                <w:sz w:val="16"/>
                                <w:szCs w:val="16"/>
                                <w:lang w:val="de-AT"/>
                              </w:rPr>
                              <w:br/>
                            </w:r>
                            <w:r w:rsidRPr="001D3258">
                              <w:rPr>
                                <w:sz w:val="16"/>
                                <w:szCs w:val="16"/>
                                <w:lang w:val="de-AT"/>
                              </w:rPr>
                              <w:t xml:space="preserve">ca. 7 </w:t>
                            </w:r>
                            <w:proofErr w:type="spellStart"/>
                            <w:r w:rsidRPr="001D3258">
                              <w:rPr>
                                <w:sz w:val="16"/>
                                <w:szCs w:val="16"/>
                                <w:lang w:val="de-AT"/>
                              </w:rPr>
                              <w:t>TWh</w:t>
                            </w:r>
                            <w:proofErr w:type="spellEnd"/>
                          </w:p>
                        </w:txbxContent>
                      </v:textbox>
                      <o:callout v:ext="edit" minusy="t"/>
                    </v:shape>
                  </w:pict>
                </mc:Fallback>
              </mc:AlternateContent>
            </w:r>
          </w:p>
          <w:p w:rsidR="004C56DE" w:rsidRPr="002662F5" w:rsidRDefault="004C56DE" w:rsidP="0081325F">
            <w:pPr>
              <w:jc w:val="center"/>
              <w:rPr>
                <w:lang w:val="de-AT"/>
              </w:rPr>
            </w:pPr>
            <w:r>
              <w:rPr>
                <w:noProof/>
                <w:lang w:val="de-AT" w:eastAsia="de-AT"/>
              </w:rPr>
              <mc:AlternateContent>
                <mc:Choice Requires="wps">
                  <w:drawing>
                    <wp:anchor distT="0" distB="0" distL="114300" distR="114300" simplePos="0" relativeHeight="251660288" behindDoc="0" locked="0" layoutInCell="1" allowOverlap="1">
                      <wp:simplePos x="0" y="0"/>
                      <wp:positionH relativeFrom="column">
                        <wp:posOffset>948055</wp:posOffset>
                      </wp:positionH>
                      <wp:positionV relativeFrom="paragraph">
                        <wp:posOffset>252730</wp:posOffset>
                      </wp:positionV>
                      <wp:extent cx="419100" cy="400050"/>
                      <wp:effectExtent l="9525" t="9525" r="9525" b="9525"/>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00050"/>
                              </a:xfrm>
                              <a:prstGeom prst="ellipse">
                                <a:avLst/>
                              </a:prstGeom>
                              <a:noFill/>
                              <a:ln w="31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F2822C" id="Ellipse 3" o:spid="_x0000_s1026" style="position:absolute;margin-left:74.65pt;margin-top:19.9pt;width:33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" filled="f" strokeweight=".25pt">
                      <v:stroke dashstyle="1 1" endcap="round"/>
                    </v:oval>
                  </w:pict>
                </mc:Fallback>
              </mc:AlternateContent>
            </w:r>
            <w:r>
              <w:rPr>
                <w:noProof/>
                <w:lang w:val="de-AT" w:eastAsia="de-AT"/>
              </w:rPr>
              <w:drawing>
                <wp:inline distT="0" distB="0" distL="0" distR="0">
                  <wp:extent cx="2507615" cy="1680845"/>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7615" cy="1680845"/>
                          </a:xfrm>
                          <a:prstGeom prst="rect">
                            <a:avLst/>
                          </a:prstGeom>
                          <a:noFill/>
                        </pic:spPr>
                      </pic:pic>
                    </a:graphicData>
                  </a:graphic>
                </wp:inline>
              </w:drawing>
            </w:r>
          </w:p>
          <w:p w:rsidR="004C56DE" w:rsidRDefault="004C56DE" w:rsidP="0081325F">
            <w:pPr>
              <w:jc w:val="left"/>
            </w:pPr>
          </w:p>
        </w:tc>
        <w:tc>
          <w:tcPr>
            <w:tcW w:w="4644" w:type="dxa"/>
            <w:shd w:val="clear" w:color="auto" w:fill="auto"/>
          </w:tcPr>
          <w:p w:rsidR="004C56DE" w:rsidRDefault="004C56DE" w:rsidP="0081325F">
            <w:pPr>
              <w:jc w:val="left"/>
              <w:rPr>
                <w:lang w:val="de-AT"/>
              </w:rPr>
            </w:pPr>
          </w:p>
          <w:p w:rsidR="004C56DE" w:rsidRDefault="004C56DE" w:rsidP="0081325F">
            <w:pPr>
              <w:jc w:val="left"/>
            </w:pPr>
            <w:r w:rsidRPr="002662F5">
              <w:rPr>
                <w:noProof/>
                <w:lang w:val="de-AT" w:eastAsia="de-AT"/>
              </w:rPr>
              <w:drawing>
                <wp:inline distT="0" distB="0" distL="0" distR="0">
                  <wp:extent cx="2762250" cy="16097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0" cy="1609725"/>
                          </a:xfrm>
                          <a:prstGeom prst="rect">
                            <a:avLst/>
                          </a:prstGeom>
                          <a:noFill/>
                          <a:ln>
                            <a:noFill/>
                          </a:ln>
                          <a:effectLst/>
                        </pic:spPr>
                      </pic:pic>
                    </a:graphicData>
                  </a:graphic>
                </wp:inline>
              </w:drawing>
            </w:r>
          </w:p>
        </w:tc>
      </w:tr>
    </w:tbl>
    <w:p w:rsidR="004C56DE" w:rsidRDefault="004C56DE" w:rsidP="004C56DE">
      <w:pPr>
        <w:keepNext/>
        <w:jc w:val="left"/>
      </w:pPr>
    </w:p>
    <w:p w:rsidR="004C56DE" w:rsidRDefault="004C56DE" w:rsidP="004C56DE">
      <w:pPr>
        <w:pStyle w:val="Beschriftung"/>
        <w:jc w:val="left"/>
      </w:pPr>
      <w:r>
        <w:t xml:space="preserve">Abbildung </w:t>
      </w:r>
      <w:r>
        <w:fldChar w:fldCharType="begin"/>
      </w:r>
      <w:r>
        <w:instrText xml:space="preserve"> SEQ Abbildung \* ARABIC </w:instrText>
      </w:r>
      <w:r>
        <w:fldChar w:fldCharType="separate"/>
      </w:r>
      <w:r w:rsidR="00556B2F">
        <w:rPr>
          <w:noProof/>
        </w:rPr>
        <w:t>1</w:t>
      </w:r>
      <w:r>
        <w:fldChar w:fldCharType="end"/>
      </w:r>
      <w:r>
        <w:t xml:space="preserve">: Der saisonale Verlagerungsbedarf wird bei ca. 7 </w:t>
      </w:r>
      <w:proofErr w:type="spellStart"/>
      <w:r>
        <w:t>TWh</w:t>
      </w:r>
      <w:proofErr w:type="spellEnd"/>
      <w:r>
        <w:t xml:space="preserve"> liegen. Der Energieinhalt der negativen Residuallast wächst wesentlich schneller als ihre Leistung (rechts). </w:t>
      </w:r>
    </w:p>
    <w:p w:rsidR="004C56DE" w:rsidRDefault="004C56DE" w:rsidP="004C56DE">
      <w:pPr>
        <w:jc w:val="left"/>
      </w:pPr>
    </w:p>
    <w:p w:rsidR="004C56DE" w:rsidRPr="00673CBB" w:rsidRDefault="004C56DE" w:rsidP="004C56DE">
      <w:pPr>
        <w:jc w:val="left"/>
        <w:rPr>
          <w:rFonts w:cs="Arial"/>
          <w:b/>
          <w:szCs w:val="20"/>
          <w:lang w:val="de-AT"/>
        </w:rPr>
      </w:pPr>
      <w:r w:rsidRPr="00673CBB">
        <w:rPr>
          <w:rFonts w:cs="Arial"/>
          <w:b/>
          <w:szCs w:val="20"/>
          <w:lang w:val="de-AT"/>
        </w:rPr>
        <w:t>Schlussfolgerung</w:t>
      </w:r>
    </w:p>
    <w:p w:rsidR="004C56DE" w:rsidRDefault="004C56DE" w:rsidP="004C56DE">
      <w:pPr>
        <w:jc w:val="left"/>
      </w:pPr>
      <w:r>
        <w:t xml:space="preserve">Die Charakteristika volatiler Erzeugung bedingen nicht nur kurz- und mittelfristig </w:t>
      </w:r>
      <w:proofErr w:type="spellStart"/>
      <w:r>
        <w:t>Imbalancen</w:t>
      </w:r>
      <w:proofErr w:type="spellEnd"/>
      <w:r>
        <w:t xml:space="preserve"> von Erzeugung und </w:t>
      </w:r>
      <w:proofErr w:type="gramStart"/>
      <w:r>
        <w:t>Last</w:t>
      </w:r>
      <w:proofErr w:type="gramEnd"/>
      <w:r>
        <w:t xml:space="preserve"> sondern auch einen saisonalen Energieüberschuss. Dunkelflauten sind zu berücksichtigen. Der Flexibilisierungsbedarf ist in Österreich für alle Zeitbereiche wesentlich höher einzustufen, als z. B. für Deutschland prognostiziert. Die Wahl der Mittel ist neben technisch/ wirtschaftlichen Erfordernissen stark an den Bedürfnissen dezentraler Konfigurationen auf Verteilnetzebene und des übergeordneten Systems zu orientieren, die deutliche Unterschiede aufweisen können. Der gewählte strategische Planungsansatz führt zu einer buchhalterisch ausgeglichenen Jahresenergiebilanz aus RES-E Erzeugung und Last in 2030. Es besteht de facto kein anderweitig zu verwendender, jährlicher Stromüberschuss, jedoch ein Verlagerungsbedarf. Es ist daher mit Hilfe hocheffizienter Speichertechnologien jahresdurchgängig und für alle Zeitbereiche ein möglichst hoher Deckungsgrad auf Basis heimischer RES-E anzustreben sowie die </w:t>
      </w:r>
      <w:proofErr w:type="spellStart"/>
      <w:r>
        <w:t>Abregelung</w:t>
      </w:r>
      <w:proofErr w:type="spellEnd"/>
      <w:r>
        <w:t xml:space="preserve"> der Erneuerbaren (</w:t>
      </w:r>
      <w:proofErr w:type="spellStart"/>
      <w:r>
        <w:t>Bulk</w:t>
      </w:r>
      <w:proofErr w:type="spellEnd"/>
      <w:r>
        <w:t xml:space="preserve"> Energy) möglichst gering zu halten. Das Ausmaß des </w:t>
      </w:r>
      <w:proofErr w:type="spellStart"/>
      <w:r>
        <w:t>cross</w:t>
      </w:r>
      <w:proofErr w:type="spellEnd"/>
      <w:r>
        <w:t>-</w:t>
      </w:r>
      <w:proofErr w:type="spellStart"/>
      <w:r>
        <w:t>border</w:t>
      </w:r>
      <w:proofErr w:type="spellEnd"/>
      <w:r>
        <w:t>-Ausgleichs ist an den Notwendigkeiten der energiewirtschaftlichen Optimierung zu orientieren. Der koordinierte Ausbau von PV und Windkraft erscheint als notwendig, um Kompensationseffekte bestmöglich zu nutzen. Ungesteuerte dezentrale Batteriespeicher haben einen nur geringfügigen Einfluss auf die Residuallast, unterstützen aber das dezentrale Energiemanagement in Gebäuden und Verteilnetzen.</w:t>
      </w:r>
    </w:p>
    <w:p w:rsidR="004C56DE" w:rsidRDefault="004C56DE" w:rsidP="004C56DE">
      <w:pPr>
        <w:jc w:val="left"/>
        <w:rPr>
          <w:rFonts w:cs="Arial"/>
          <w:szCs w:val="20"/>
          <w:lang w:val="de-AT"/>
        </w:rPr>
      </w:pPr>
      <w:r w:rsidRPr="00E45031">
        <w:rPr>
          <w:rFonts w:cs="Arial"/>
          <w:szCs w:val="20"/>
          <w:lang w:val="de-AT"/>
        </w:rPr>
        <w:t>Wasserkraftspeicher in allen ihren</w:t>
      </w:r>
      <w:r>
        <w:rPr>
          <w:rFonts w:cs="Arial"/>
          <w:szCs w:val="20"/>
          <w:lang w:val="de-AT"/>
        </w:rPr>
        <w:t xml:space="preserve"> Ausprägungen erbringen in sämtlichen</w:t>
      </w:r>
      <w:r w:rsidRPr="00E45031">
        <w:rPr>
          <w:rFonts w:cs="Arial"/>
          <w:szCs w:val="20"/>
          <w:lang w:val="de-AT"/>
        </w:rPr>
        <w:t xml:space="preserve"> Zeitbereichen bis hin zum Saisonspeicher</w:t>
      </w:r>
      <w:r>
        <w:rPr>
          <w:rFonts w:cs="Arial"/>
          <w:szCs w:val="20"/>
          <w:lang w:val="de-AT"/>
        </w:rPr>
        <w:t xml:space="preserve"> sicher, hocheffizient und preiswert alle Dienstleistungen für die Systemstabilität, Versorgungssicherheit und Erneuerbaren Integration. Sie senken darüber hinaus die Brennstoffkosten und THG-Emissionen thermischer Anlagen beträchtlich und gewinnen zunehmend an Bedeutung für das </w:t>
      </w:r>
      <w:proofErr w:type="spellStart"/>
      <w:r>
        <w:rPr>
          <w:rFonts w:cs="Arial"/>
          <w:szCs w:val="20"/>
          <w:lang w:val="de-AT"/>
        </w:rPr>
        <w:t>Redispatch</w:t>
      </w:r>
      <w:proofErr w:type="spellEnd"/>
      <w:r>
        <w:rPr>
          <w:rFonts w:cs="Arial"/>
          <w:szCs w:val="20"/>
          <w:lang w:val="de-AT"/>
        </w:rPr>
        <w:t xml:space="preserve">. Für alpine Pumpspeicher ist die Nutzung des natürlichen Zuflusses typisch und erweitert ihr operatives Spektrum beträchtlich. Großtechnische Lösungen der </w:t>
      </w:r>
      <w:proofErr w:type="spellStart"/>
      <w:r>
        <w:rPr>
          <w:rFonts w:cs="Arial"/>
          <w:szCs w:val="20"/>
          <w:lang w:val="de-AT"/>
        </w:rPr>
        <w:t>Sektorkopplung</w:t>
      </w:r>
      <w:proofErr w:type="spellEnd"/>
      <w:r>
        <w:rPr>
          <w:rFonts w:cs="Arial"/>
          <w:szCs w:val="20"/>
          <w:lang w:val="de-AT"/>
        </w:rPr>
        <w:t xml:space="preserve"> (P2G – G2P) haben den Nachteil sehr geringer Zykluswirkungsgrade (20 bis 25%). Im Sinne der Energie- und Kosteneffizienz soll daher der maximal mögliche Ausbau von (Pump-) </w:t>
      </w:r>
      <w:proofErr w:type="spellStart"/>
      <w:r>
        <w:rPr>
          <w:rFonts w:cs="Arial"/>
          <w:szCs w:val="20"/>
          <w:lang w:val="de-AT"/>
        </w:rPr>
        <w:t>speicherkapazität</w:t>
      </w:r>
      <w:proofErr w:type="spellEnd"/>
      <w:r>
        <w:rPr>
          <w:rFonts w:cs="Arial"/>
          <w:szCs w:val="20"/>
          <w:lang w:val="de-AT"/>
        </w:rPr>
        <w:t xml:space="preserve"> und Maschinenleistung als Garant für den energiepolitischen Erfolg von IKES 2030 mit dem gebührenden Gewicht gewürdigt werden.</w:t>
      </w:r>
    </w:p>
    <w:p w:rsidR="004C56DE" w:rsidRDefault="004C56DE" w:rsidP="004C56DE">
      <w:pPr>
        <w:jc w:val="left"/>
        <w:rPr>
          <w:rFonts w:cs="Arial"/>
          <w:szCs w:val="20"/>
          <w:lang w:val="de-AT"/>
        </w:rPr>
      </w:pPr>
    </w:p>
    <w:p w:rsidR="004C56DE" w:rsidRPr="004C56DE" w:rsidRDefault="004C56DE" w:rsidP="004C56DE">
      <w:pPr>
        <w:pStyle w:val="Ueberschrift"/>
        <w:jc w:val="left"/>
        <w:rPr>
          <w:lang w:val="de-AT"/>
        </w:rPr>
      </w:pPr>
      <w:bookmarkStart w:id="1" w:name="_Toc26086066"/>
      <w:bookmarkStart w:id="2" w:name="_Toc68418491"/>
      <w:r w:rsidRPr="004C56DE">
        <w:rPr>
          <w:lang w:val="de-AT"/>
        </w:rPr>
        <w:t>Literatur</w:t>
      </w:r>
      <w:bookmarkEnd w:id="1"/>
      <w:bookmarkEnd w:id="2"/>
    </w:p>
    <w:p w:rsidR="00296BC2" w:rsidRDefault="00296BC2" w:rsidP="00296BC2">
      <w:pPr>
        <w:jc w:val="left"/>
        <w:rPr>
          <w:rFonts w:cs="Arial"/>
          <w:szCs w:val="20"/>
          <w:lang w:val="de-AT"/>
        </w:rPr>
      </w:pPr>
      <w:r>
        <w:rPr>
          <w:rFonts w:cs="Arial"/>
          <w:szCs w:val="20"/>
          <w:lang w:val="de-AT"/>
        </w:rPr>
        <w:t xml:space="preserve">[1] </w:t>
      </w:r>
      <w:proofErr w:type="spellStart"/>
      <w:r>
        <w:rPr>
          <w:rFonts w:cs="Arial"/>
          <w:szCs w:val="20"/>
          <w:lang w:val="de-AT"/>
        </w:rPr>
        <w:t>dena</w:t>
      </w:r>
      <w:proofErr w:type="spellEnd"/>
      <w:r>
        <w:rPr>
          <w:rFonts w:cs="Arial"/>
          <w:szCs w:val="20"/>
          <w:lang w:val="de-AT"/>
        </w:rPr>
        <w:t xml:space="preserve"> (2015). Der Beitrag von Pumpspeichern zur Netzstabilität und Versorgungssicherheit.</w:t>
      </w:r>
    </w:p>
    <w:p w:rsidR="00296BC2" w:rsidRPr="00296BC2" w:rsidRDefault="00296BC2" w:rsidP="00296BC2">
      <w:pPr>
        <w:jc w:val="left"/>
        <w:rPr>
          <w:rFonts w:cs="Arial"/>
          <w:szCs w:val="20"/>
          <w:lang w:val="en-US"/>
        </w:rPr>
      </w:pPr>
      <w:r>
        <w:rPr>
          <w:rFonts w:cs="Arial"/>
          <w:szCs w:val="20"/>
          <w:lang w:val="en-US"/>
        </w:rPr>
        <w:t>[2</w:t>
      </w:r>
      <w:r w:rsidRPr="00296BC2">
        <w:rPr>
          <w:rFonts w:cs="Arial"/>
          <w:szCs w:val="20"/>
          <w:lang w:val="en-US"/>
        </w:rPr>
        <w:t>] ENTSO-E (2017). Regional Investment Plan 2017, Continental Central South, CCS.</w:t>
      </w:r>
    </w:p>
    <w:p w:rsidR="00296BC2" w:rsidRPr="00296BC2" w:rsidRDefault="00296BC2" w:rsidP="00296BC2">
      <w:pPr>
        <w:jc w:val="left"/>
        <w:rPr>
          <w:rFonts w:cs="Arial"/>
          <w:szCs w:val="20"/>
          <w:lang w:val="en-US"/>
        </w:rPr>
      </w:pPr>
      <w:r>
        <w:rPr>
          <w:rFonts w:cs="Arial"/>
          <w:szCs w:val="20"/>
          <w:lang w:val="en-US"/>
        </w:rPr>
        <w:t>[3</w:t>
      </w:r>
      <w:r w:rsidRPr="00296BC2">
        <w:rPr>
          <w:rFonts w:cs="Arial"/>
          <w:szCs w:val="20"/>
          <w:lang w:val="en-US"/>
        </w:rPr>
        <w:t xml:space="preserve">] ENTSO-E (2018). Completing the Map. </w:t>
      </w:r>
      <w:proofErr w:type="gramStart"/>
      <w:r w:rsidRPr="00296BC2">
        <w:rPr>
          <w:rFonts w:cs="Arial"/>
          <w:szCs w:val="20"/>
          <w:lang w:val="en-US"/>
        </w:rPr>
        <w:t>2018</w:t>
      </w:r>
      <w:proofErr w:type="gramEnd"/>
      <w:r w:rsidRPr="00296BC2">
        <w:rPr>
          <w:rFonts w:cs="Arial"/>
          <w:szCs w:val="20"/>
          <w:lang w:val="en-US"/>
        </w:rPr>
        <w:t xml:space="preserve"> System Needs Analysis.</w:t>
      </w:r>
    </w:p>
    <w:p w:rsidR="00410FD2" w:rsidRPr="004C56DE" w:rsidRDefault="00296BC2">
      <w:pPr>
        <w:rPr>
          <w:lang w:val="de-AT"/>
        </w:rPr>
      </w:pPr>
      <w:r>
        <w:rPr>
          <w:rFonts w:cs="Arial"/>
          <w:szCs w:val="20"/>
          <w:lang w:val="de-AT"/>
        </w:rPr>
        <w:t xml:space="preserve">[4] Wikipedia </w:t>
      </w:r>
      <w:proofErr w:type="spellStart"/>
      <w:r>
        <w:rPr>
          <w:rFonts w:cs="Arial"/>
          <w:szCs w:val="20"/>
          <w:lang w:val="de-AT"/>
        </w:rPr>
        <w:t>download</w:t>
      </w:r>
      <w:proofErr w:type="spellEnd"/>
      <w:r>
        <w:rPr>
          <w:rFonts w:cs="Arial"/>
          <w:szCs w:val="20"/>
          <w:lang w:val="de-AT"/>
        </w:rPr>
        <w:t xml:space="preserve"> 22.7.2018. Stromausfall in Europa im November 2006.</w:t>
      </w:r>
    </w:p>
    <w:sectPr w:rsidR="00410FD2" w:rsidRPr="004C56D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A28" w:rsidRDefault="00041A28" w:rsidP="004C56DE">
      <w:r>
        <w:separator/>
      </w:r>
    </w:p>
  </w:endnote>
  <w:endnote w:type="continuationSeparator" w:id="0">
    <w:p w:rsidR="00041A28" w:rsidRDefault="00041A28" w:rsidP="004C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A28" w:rsidRDefault="00041A28" w:rsidP="004C56DE">
      <w:r>
        <w:separator/>
      </w:r>
    </w:p>
  </w:footnote>
  <w:footnote w:type="continuationSeparator" w:id="0">
    <w:p w:rsidR="00041A28" w:rsidRDefault="00041A28" w:rsidP="004C56DE">
      <w:r>
        <w:continuationSeparator/>
      </w:r>
    </w:p>
  </w:footnote>
  <w:footnote w:id="1">
    <w:p w:rsidR="004C56DE" w:rsidRPr="007A1F7D" w:rsidRDefault="004C56DE" w:rsidP="004C56DE">
      <w:pPr>
        <w:pStyle w:val="Funotentext"/>
        <w:rPr>
          <w:lang w:val="en-US"/>
        </w:rPr>
      </w:pPr>
      <w:r>
        <w:rPr>
          <w:rStyle w:val="Funotenzeichen"/>
        </w:rPr>
        <w:footnoteRef/>
      </w:r>
      <w:r w:rsidRPr="007A1F7D">
        <w:rPr>
          <w:lang w:val="en-US"/>
        </w:rPr>
        <w:t xml:space="preserve"> </w:t>
      </w:r>
      <w:proofErr w:type="spellStart"/>
      <w:r>
        <w:rPr>
          <w:lang w:val="en-US"/>
        </w:rPr>
        <w:t>Anm</w:t>
      </w:r>
      <w:proofErr w:type="spellEnd"/>
      <w:r>
        <w:rPr>
          <w:lang w:val="en-US"/>
        </w:rPr>
        <w:t xml:space="preserve">.: </w:t>
      </w:r>
      <w:r w:rsidRPr="00FF7589">
        <w:rPr>
          <w:lang w:val="en-US"/>
        </w:rPr>
        <w:t>RES-E = Renewable Energy Source - Electricity</w:t>
      </w:r>
    </w:p>
  </w:footnote>
  <w:footnote w:id="2">
    <w:p w:rsidR="004C56DE" w:rsidRPr="002F7AFD" w:rsidRDefault="004C56DE" w:rsidP="004C56DE">
      <w:pPr>
        <w:pStyle w:val="Funotentext"/>
        <w:rPr>
          <w:lang w:val="de-AT"/>
        </w:rPr>
      </w:pPr>
      <w:r>
        <w:rPr>
          <w:rStyle w:val="Funotenzeichen"/>
        </w:rPr>
        <w:footnoteRef/>
      </w:r>
      <w:r>
        <w:t xml:space="preserve"> </w:t>
      </w:r>
      <w:r>
        <w:rPr>
          <w:lang w:val="de-AT"/>
        </w:rPr>
        <w:t xml:space="preserve">PV Anteil = PV Erzeugung/Summe Strombedarf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BD00F68"/>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55D75967"/>
    <w:multiLevelType w:val="multilevel"/>
    <w:tmpl w:val="0978BA90"/>
    <w:numStyleLink w:val="Aufzhlung"/>
  </w:abstractNum>
  <w:abstractNum w:abstractNumId="2"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DE"/>
    <w:rsid w:val="00041A28"/>
    <w:rsid w:val="00127F86"/>
    <w:rsid w:val="00133838"/>
    <w:rsid w:val="001B17B4"/>
    <w:rsid w:val="00245D54"/>
    <w:rsid w:val="002826EC"/>
    <w:rsid w:val="00296BC2"/>
    <w:rsid w:val="002B1D29"/>
    <w:rsid w:val="002C0972"/>
    <w:rsid w:val="00366CD7"/>
    <w:rsid w:val="003B1D15"/>
    <w:rsid w:val="00410FD2"/>
    <w:rsid w:val="0043179A"/>
    <w:rsid w:val="004347CF"/>
    <w:rsid w:val="00453225"/>
    <w:rsid w:val="00461CE6"/>
    <w:rsid w:val="004C56DE"/>
    <w:rsid w:val="004F4EC6"/>
    <w:rsid w:val="00542BF4"/>
    <w:rsid w:val="00556B2F"/>
    <w:rsid w:val="0056107C"/>
    <w:rsid w:val="006008A9"/>
    <w:rsid w:val="006D4BA1"/>
    <w:rsid w:val="006F2298"/>
    <w:rsid w:val="00795D14"/>
    <w:rsid w:val="00822818"/>
    <w:rsid w:val="008F0D28"/>
    <w:rsid w:val="00932ED2"/>
    <w:rsid w:val="009A38E2"/>
    <w:rsid w:val="00A51D5C"/>
    <w:rsid w:val="00B43214"/>
    <w:rsid w:val="00B65FE6"/>
    <w:rsid w:val="00BC2DC9"/>
    <w:rsid w:val="00BF33F9"/>
    <w:rsid w:val="00C200DB"/>
    <w:rsid w:val="00CB1842"/>
    <w:rsid w:val="00CD73AA"/>
    <w:rsid w:val="00D60232"/>
    <w:rsid w:val="00F6222B"/>
    <w:rsid w:val="00FB76F3"/>
    <w:rsid w:val="00FD79E5"/>
    <w:rsid w:val="00FE73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101C35-1462-4BF7-9940-34893F78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56DE"/>
    <w:pPr>
      <w:jc w:val="both"/>
    </w:pPr>
    <w:rPr>
      <w:rFonts w:ascii="Arial" w:hAnsi="Arial"/>
      <w:szCs w:val="24"/>
      <w:lang w:val="de-DE" w:eastAsia="ko-KR"/>
    </w:rPr>
  </w:style>
  <w:style w:type="paragraph" w:styleId="berschrift1">
    <w:name w:val="heading 1"/>
    <w:basedOn w:val="Standard"/>
    <w:next w:val="Standard"/>
    <w:qFormat/>
    <w:rsid w:val="0056107C"/>
    <w:pPr>
      <w:numPr>
        <w:numId w:val="2"/>
      </w:numPr>
      <w:spacing w:before="160" w:after="80"/>
      <w:ind w:left="340" w:hanging="340"/>
      <w:outlineLvl w:val="0"/>
    </w:pPr>
    <w:rPr>
      <w:b/>
      <w:sz w:val="24"/>
    </w:rPr>
  </w:style>
  <w:style w:type="paragraph" w:styleId="berschrift2">
    <w:name w:val="heading 2"/>
    <w:basedOn w:val="Standard"/>
    <w:next w:val="Standard"/>
    <w:qFormat/>
    <w:rsid w:val="0056107C"/>
    <w:pPr>
      <w:numPr>
        <w:ilvl w:val="1"/>
        <w:numId w:val="3"/>
      </w:numPr>
      <w:spacing w:before="120" w:after="60"/>
      <w:ind w:left="539" w:hanging="539"/>
      <w:outlineLvl w:val="1"/>
    </w:pPr>
    <w:rPr>
      <w:b/>
    </w:rPr>
  </w:style>
  <w:style w:type="paragraph" w:styleId="berschrift3">
    <w:name w:val="heading 3"/>
    <w:basedOn w:val="Standard"/>
    <w:next w:val="Standard"/>
    <w:qFormat/>
    <w:rsid w:val="0056107C"/>
    <w:pPr>
      <w:numPr>
        <w:ilvl w:val="2"/>
        <w:numId w:val="4"/>
      </w:numPr>
      <w:spacing w:before="120" w:after="60"/>
      <w:ind w:left="737" w:hanging="737"/>
      <w:outlineLvl w:val="2"/>
    </w:pPr>
    <w:rPr>
      <w:b/>
    </w:rPr>
  </w:style>
  <w:style w:type="paragraph" w:styleId="berschrift4">
    <w:name w:val="heading 4"/>
    <w:basedOn w:val="Standard"/>
    <w:next w:val="Standard"/>
    <w:qFormat/>
    <w:rsid w:val="0056107C"/>
    <w:pPr>
      <w:numPr>
        <w:ilvl w:val="3"/>
        <w:numId w:val="5"/>
      </w:numPr>
      <w:spacing w:before="120" w:after="60"/>
      <w:ind w:left="936" w:hanging="936"/>
      <w:outlineLvl w:val="3"/>
    </w:pPr>
    <w:rPr>
      <w:b/>
    </w:rPr>
  </w:style>
  <w:style w:type="paragraph" w:styleId="berschrift5">
    <w:name w:val="heading 5"/>
    <w:basedOn w:val="Standard"/>
    <w:next w:val="Standard"/>
    <w:qFormat/>
    <w:rsid w:val="0056107C"/>
    <w:pPr>
      <w:numPr>
        <w:ilvl w:val="4"/>
        <w:numId w:val="6"/>
      </w:numPr>
      <w:spacing w:before="120" w:after="60"/>
      <w:ind w:left="1134" w:hanging="1134"/>
      <w:outlineLvl w:val="4"/>
    </w:pPr>
    <w:rPr>
      <w:b/>
    </w:rPr>
  </w:style>
  <w:style w:type="paragraph" w:styleId="berschrift6">
    <w:name w:val="heading 6"/>
    <w:basedOn w:val="Standard"/>
    <w:next w:val="Standard"/>
    <w:qFormat/>
    <w:rsid w:val="0056107C"/>
    <w:pPr>
      <w:numPr>
        <w:ilvl w:val="5"/>
        <w:numId w:val="7"/>
      </w:numPr>
      <w:spacing w:before="120" w:after="60"/>
      <w:ind w:left="1332" w:hanging="1332"/>
      <w:outlineLvl w:val="5"/>
    </w:pPr>
    <w:rPr>
      <w:b/>
    </w:rPr>
  </w:style>
  <w:style w:type="paragraph" w:styleId="berschrift7">
    <w:name w:val="heading 7"/>
    <w:basedOn w:val="Standard"/>
    <w:next w:val="Standard"/>
    <w:qFormat/>
    <w:rsid w:val="0056107C"/>
    <w:pPr>
      <w:numPr>
        <w:ilvl w:val="6"/>
        <w:numId w:val="8"/>
      </w:numPr>
      <w:spacing w:before="120" w:after="60"/>
      <w:ind w:left="1531" w:hanging="1531"/>
      <w:outlineLvl w:val="6"/>
    </w:pPr>
    <w:rPr>
      <w:b/>
    </w:rPr>
  </w:style>
  <w:style w:type="paragraph" w:styleId="berschrift8">
    <w:name w:val="heading 8"/>
    <w:basedOn w:val="Standard"/>
    <w:next w:val="Standard"/>
    <w:qFormat/>
    <w:rsid w:val="0056107C"/>
    <w:pPr>
      <w:numPr>
        <w:ilvl w:val="7"/>
        <w:numId w:val="9"/>
      </w:numPr>
      <w:spacing w:before="120" w:after="60"/>
      <w:ind w:left="1729" w:hanging="1729"/>
      <w:outlineLvl w:val="7"/>
    </w:pPr>
    <w:rPr>
      <w:b/>
    </w:rPr>
  </w:style>
  <w:style w:type="paragraph" w:styleId="berschrift9">
    <w:name w:val="heading 9"/>
    <w:basedOn w:val="Standard"/>
    <w:next w:val="Standard"/>
    <w:qFormat/>
    <w:rsid w:val="0056107C"/>
    <w:pPr>
      <w:numPr>
        <w:ilvl w:val="8"/>
        <w:numId w:val="10"/>
      </w:numPr>
      <w:spacing w:before="120" w:after="60"/>
      <w:ind w:left="1928" w:hanging="1928"/>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56107C"/>
    <w:pPr>
      <w:tabs>
        <w:tab w:val="center" w:pos="4621"/>
        <w:tab w:val="right" w:pos="9242"/>
      </w:tabs>
    </w:pPr>
  </w:style>
  <w:style w:type="paragraph" w:styleId="Titel">
    <w:name w:val="Title"/>
    <w:basedOn w:val="Standard"/>
    <w:qFormat/>
    <w:rsid w:val="0056107C"/>
    <w:pPr>
      <w:spacing w:before="240" w:after="80"/>
    </w:pPr>
    <w:rPr>
      <w:b/>
      <w:sz w:val="28"/>
    </w:rPr>
  </w:style>
  <w:style w:type="paragraph" w:styleId="Untertitel">
    <w:name w:val="Subtitle"/>
    <w:basedOn w:val="Standard"/>
    <w:qFormat/>
    <w:rsid w:val="0056107C"/>
    <w:pPr>
      <w:spacing w:before="120" w:after="60"/>
    </w:pPr>
    <w:rPr>
      <w:b/>
      <w:sz w:val="24"/>
    </w:rPr>
  </w:style>
  <w:style w:type="paragraph" w:styleId="RGV-berschrift">
    <w:name w:val="toa heading"/>
    <w:basedOn w:val="Standard"/>
    <w:next w:val="Standard"/>
    <w:semiHidden/>
    <w:rsid w:val="0056107C"/>
    <w:pPr>
      <w:spacing w:before="120"/>
    </w:pPr>
    <w:rPr>
      <w:b/>
    </w:rPr>
  </w:style>
  <w:style w:type="paragraph" w:styleId="Endnotentext">
    <w:name w:val="endnote text"/>
    <w:basedOn w:val="Standard"/>
    <w:semiHidden/>
    <w:rsid w:val="0056107C"/>
    <w:rPr>
      <w:sz w:val="16"/>
    </w:rPr>
  </w:style>
  <w:style w:type="paragraph" w:styleId="Funotentext">
    <w:name w:val="footnote text"/>
    <w:basedOn w:val="Standard"/>
    <w:link w:val="FunotentextZchn"/>
    <w:uiPriority w:val="99"/>
    <w:semiHidden/>
    <w:rsid w:val="0056107C"/>
    <w:rPr>
      <w:sz w:val="16"/>
    </w:rPr>
  </w:style>
  <w:style w:type="paragraph" w:styleId="Beschriftung">
    <w:name w:val="caption"/>
    <w:basedOn w:val="Standard"/>
    <w:next w:val="Standard"/>
    <w:uiPriority w:val="35"/>
    <w:qFormat/>
    <w:rsid w:val="0056107C"/>
    <w:pPr>
      <w:spacing w:before="120" w:after="120"/>
    </w:pPr>
    <w:rPr>
      <w:b/>
      <w:sz w:val="16"/>
    </w:rPr>
  </w:style>
  <w:style w:type="paragraph" w:styleId="Fuzeile">
    <w:name w:val="footer"/>
    <w:basedOn w:val="Standard"/>
    <w:semiHidden/>
    <w:rsid w:val="0056107C"/>
    <w:pPr>
      <w:tabs>
        <w:tab w:val="center" w:pos="4621"/>
        <w:tab w:val="right" w:pos="9242"/>
      </w:tabs>
    </w:pPr>
  </w:style>
  <w:style w:type="paragraph" w:styleId="Gruformel">
    <w:name w:val="Closing"/>
    <w:basedOn w:val="Standard"/>
    <w:semiHidden/>
    <w:rsid w:val="0056107C"/>
    <w:pPr>
      <w:jc w:val="center"/>
    </w:pPr>
  </w:style>
  <w:style w:type="paragraph" w:styleId="Makrotext">
    <w:name w:val="macro"/>
    <w:semiHidden/>
    <w:rsid w:val="0056107C"/>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lang w:val="de-DE" w:eastAsia="de-DE"/>
    </w:rPr>
  </w:style>
  <w:style w:type="paragraph" w:styleId="Nachrichtenkopf">
    <w:name w:val="Message Header"/>
    <w:basedOn w:val="Standard"/>
    <w:semiHidden/>
    <w:rsid w:val="0056107C"/>
    <w:pPr>
      <w:ind w:left="1134" w:hanging="1134"/>
    </w:pPr>
  </w:style>
  <w:style w:type="paragraph" w:styleId="Unterschrift">
    <w:name w:val="Signature"/>
    <w:basedOn w:val="Standard"/>
    <w:semiHidden/>
    <w:rsid w:val="0056107C"/>
    <w:pPr>
      <w:jc w:val="center"/>
    </w:pPr>
  </w:style>
  <w:style w:type="character" w:styleId="Seitenzahl">
    <w:name w:val="page number"/>
    <w:basedOn w:val="Absatz-Standardschriftart"/>
    <w:semiHidden/>
    <w:rsid w:val="0056107C"/>
  </w:style>
  <w:style w:type="paragraph" w:styleId="Listennummer2">
    <w:name w:val="List Number 2"/>
    <w:basedOn w:val="Standard"/>
    <w:semiHidden/>
    <w:rsid w:val="0056107C"/>
    <w:pPr>
      <w:ind w:left="566" w:hanging="283"/>
    </w:pPr>
  </w:style>
  <w:style w:type="paragraph" w:styleId="Liste3">
    <w:name w:val="List 3"/>
    <w:basedOn w:val="Standard"/>
    <w:semiHidden/>
    <w:rsid w:val="0056107C"/>
    <w:pPr>
      <w:ind w:left="849" w:hanging="283"/>
    </w:pPr>
  </w:style>
  <w:style w:type="paragraph" w:styleId="Verzeichnis5">
    <w:name w:val="toc 5"/>
    <w:basedOn w:val="Standard"/>
    <w:next w:val="Standard"/>
    <w:semiHidden/>
    <w:rsid w:val="0056107C"/>
    <w:pPr>
      <w:tabs>
        <w:tab w:val="right" w:leader="dot" w:pos="9241"/>
      </w:tabs>
      <w:ind w:left="960"/>
    </w:pPr>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4C56DE"/>
    <w:rPr>
      <w:vertAlign w:val="superscript"/>
    </w:rPr>
  </w:style>
  <w:style w:type="numbering" w:customStyle="1" w:styleId="Aufzhlung">
    <w:name w:val="Aufzählung"/>
    <w:basedOn w:val="KeineListe"/>
    <w:rsid w:val="004C56DE"/>
    <w:pPr>
      <w:numPr>
        <w:numId w:val="11"/>
      </w:numPr>
    </w:pPr>
  </w:style>
  <w:style w:type="paragraph" w:customStyle="1" w:styleId="Abbildungsbeschriftung">
    <w:name w:val="Abbildungsbeschriftung"/>
    <w:basedOn w:val="Standard"/>
    <w:rsid w:val="004C56DE"/>
    <w:rPr>
      <w:i/>
      <w:iCs/>
    </w:rPr>
  </w:style>
  <w:style w:type="paragraph" w:customStyle="1" w:styleId="Ueberschrift">
    <w:name w:val="Ueberschrift"/>
    <w:basedOn w:val="Standard"/>
    <w:link w:val="UeberschriftChar"/>
    <w:rsid w:val="004C56DE"/>
    <w:pPr>
      <w:spacing w:before="120" w:after="120"/>
    </w:pPr>
    <w:rPr>
      <w:b/>
      <w:spacing w:val="-5"/>
      <w:sz w:val="22"/>
      <w:lang w:eastAsia="de-DE"/>
    </w:rPr>
  </w:style>
  <w:style w:type="character" w:customStyle="1" w:styleId="UeberschriftChar">
    <w:name w:val="Ueberschrift Char"/>
    <w:link w:val="Ueberschrift"/>
    <w:rsid w:val="004C56DE"/>
    <w:rPr>
      <w:rFonts w:ascii="Arial" w:hAnsi="Arial"/>
      <w:b/>
      <w:spacing w:val="-5"/>
      <w:sz w:val="22"/>
      <w:szCs w:val="24"/>
      <w:lang w:val="de-DE" w:eastAsia="de-DE"/>
    </w:rPr>
  </w:style>
  <w:style w:type="paragraph" w:customStyle="1" w:styleId="Abstract-Titel">
    <w:name w:val="Abstract-Titel"/>
    <w:basedOn w:val="Titel"/>
    <w:rsid w:val="004C56DE"/>
    <w:pPr>
      <w:pageBreakBefore/>
      <w:spacing w:before="120" w:after="120"/>
      <w:jc w:val="center"/>
    </w:pPr>
    <w:rPr>
      <w:rFonts w:cs="Arial"/>
      <w:snapToGrid w:val="0"/>
      <w:kern w:val="28"/>
      <w:sz w:val="32"/>
      <w:lang w:eastAsia="en-US"/>
    </w:rPr>
  </w:style>
  <w:style w:type="paragraph" w:customStyle="1" w:styleId="AutorenOrganisation">
    <w:name w:val="Autoren &amp; Organisation"/>
    <w:basedOn w:val="Standard"/>
    <w:rsid w:val="004C56DE"/>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character" w:customStyle="1" w:styleId="FunotentextZchn">
    <w:name w:val="Fußnotentext Zchn"/>
    <w:link w:val="Funotentext"/>
    <w:uiPriority w:val="99"/>
    <w:semiHidden/>
    <w:rsid w:val="004C56DE"/>
    <w:rPr>
      <w:rFonts w:ascii="Arial" w:hAnsi="Arial"/>
      <w:sz w:val="16"/>
      <w:lang w:val="de-DE" w:eastAsia="de-DE"/>
    </w:rPr>
  </w:style>
  <w:style w:type="character" w:styleId="Hyperlink">
    <w:name w:val="Hyperlink"/>
    <w:uiPriority w:val="99"/>
    <w:unhideWhenUsed/>
    <w:rsid w:val="004C56DE"/>
    <w:rPr>
      <w:color w:val="0000FF"/>
      <w:u w:val="single"/>
    </w:rPr>
  </w:style>
  <w:style w:type="paragraph" w:styleId="Sprechblasentext">
    <w:name w:val="Balloon Text"/>
    <w:basedOn w:val="Standard"/>
    <w:link w:val="SprechblasentextZchn"/>
    <w:uiPriority w:val="99"/>
    <w:semiHidden/>
    <w:unhideWhenUsed/>
    <w:rsid w:val="00556B2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56B2F"/>
    <w:rPr>
      <w:rFonts w:ascii="Segoe UI" w:hAnsi="Segoe UI" w:cs="Segoe UI"/>
      <w:sz w:val="18"/>
      <w:szCs w:val="18"/>
      <w:lang w:val="de-D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zoglauer@tiwag.at" TargetMode="External"/><Relationship Id="rId3" Type="http://schemas.openxmlformats.org/officeDocument/2006/relationships/settings" Target="settings.xml"/><Relationship Id="rId7" Type="http://schemas.openxmlformats.org/officeDocument/2006/relationships/hyperlink" Target="mailto:peter.bauhofer@tiwag.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Words>
  <Characters>6443</Characters>
  <Application>Microsoft Office Word</Application>
  <DocSecurity>0</DocSecurity>
  <Lines>105</Lines>
  <Paragraphs>31</Paragraphs>
  <ScaleCrop>false</ScaleCrop>
  <HeadingPairs>
    <vt:vector size="2" baseType="variant">
      <vt:variant>
        <vt:lpstr>Titel</vt:lpstr>
      </vt:variant>
      <vt:variant>
        <vt:i4>1</vt:i4>
      </vt:variant>
    </vt:vector>
  </HeadingPairs>
  <TitlesOfParts>
    <vt:vector size="1" baseType="lpstr">
      <vt:lpstr>Normal</vt:lpstr>
    </vt:vector>
  </TitlesOfParts>
  <Company>TIWAG-Tiroler Wasserkraft AG</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Zoglauer Michael</dc:creator>
  <cp:keywords/>
  <dc:description/>
  <cp:lastModifiedBy>Bauhofer Peter</cp:lastModifiedBy>
  <cp:revision>3</cp:revision>
  <cp:lastPrinted>2019-03-05T07:51:00Z</cp:lastPrinted>
  <dcterms:created xsi:type="dcterms:W3CDTF">2019-03-05T07:52:00Z</dcterms:created>
  <dcterms:modified xsi:type="dcterms:W3CDTF">2019-03-05T07:52:00Z</dcterms:modified>
</cp:coreProperties>
</file>