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4F" w:rsidRPr="005E4D4F" w:rsidRDefault="00C70B12" w:rsidP="005E4D4F">
      <w:pPr>
        <w:pStyle w:val="Abstract-Titel"/>
      </w:pPr>
      <w:r>
        <w:t>A</w:t>
      </w:r>
      <w:r w:rsidR="00607437">
        <w:t xml:space="preserve">uslegung eines </w:t>
      </w:r>
      <w:r w:rsidR="00A3038D">
        <w:t>Batteries</w:t>
      </w:r>
      <w:r w:rsidR="00607437">
        <w:t xml:space="preserve">peichers für </w:t>
      </w:r>
      <w:r w:rsidR="00D9569A">
        <w:t>den Parallelbetrieb mit einer Pelton-Turbine</w:t>
      </w:r>
      <w:r w:rsidR="00214025">
        <w:t xml:space="preserve"> in einem Microgrid</w:t>
      </w:r>
    </w:p>
    <w:p w:rsidR="00BF05FA" w:rsidRDefault="00D0386C" w:rsidP="00A156E4">
      <w:pPr>
        <w:pStyle w:val="AutorenOrganisation"/>
      </w:pPr>
      <w:r w:rsidRPr="00D0386C">
        <w:t>(2) Strom, Wärmeerzeugung sowie Speicher</w:t>
      </w:r>
    </w:p>
    <w:p w:rsidR="005E4D4F" w:rsidRPr="005E4D4F" w:rsidRDefault="00607437" w:rsidP="00A156E4">
      <w:pPr>
        <w:pStyle w:val="AutorenOrganisation"/>
      </w:pPr>
      <w:r>
        <w:t>Serdar Kadam</w:t>
      </w:r>
      <w:r w:rsidRPr="00A156E4">
        <w:rPr>
          <w:vertAlign w:val="superscript"/>
        </w:rPr>
        <w:t xml:space="preserve"> </w:t>
      </w:r>
      <w:r w:rsidR="00A156E4" w:rsidRPr="00A156E4">
        <w:rPr>
          <w:vertAlign w:val="superscript"/>
        </w:rPr>
        <w:t>(1</w:t>
      </w:r>
      <w:r w:rsidR="00A156E4">
        <w:rPr>
          <w:vertAlign w:val="superscript"/>
        </w:rPr>
        <w:t>)</w:t>
      </w:r>
      <w:r w:rsidR="005E4D4F" w:rsidRPr="005E4D4F">
        <w:t xml:space="preserve">, </w:t>
      </w:r>
      <w:r>
        <w:t>Johann Hell</w:t>
      </w:r>
      <w:r w:rsidRPr="00A156E4">
        <w:rPr>
          <w:vertAlign w:val="superscript"/>
        </w:rPr>
        <w:t xml:space="preserve"> </w:t>
      </w:r>
      <w:r w:rsidR="00A156E4" w:rsidRPr="00A156E4">
        <w:rPr>
          <w:vertAlign w:val="superscript"/>
        </w:rPr>
        <w:t>(</w:t>
      </w:r>
      <w:r>
        <w:rPr>
          <w:vertAlign w:val="superscript"/>
        </w:rPr>
        <w:t>1</w:t>
      </w:r>
      <w:r w:rsidR="00A156E4">
        <w:rPr>
          <w:vertAlign w:val="superscript"/>
        </w:rPr>
        <w:t>)</w:t>
      </w:r>
    </w:p>
    <w:p w:rsidR="005E4D4F" w:rsidRDefault="00A156E4" w:rsidP="005E4D4F">
      <w:pPr>
        <w:pStyle w:val="AutorenOrganisation"/>
      </w:pPr>
      <w:r>
        <w:rPr>
          <w:vertAlign w:val="superscript"/>
        </w:rPr>
        <w:t>(</w:t>
      </w:r>
      <w:r w:rsidR="00010E92" w:rsidRPr="00010E92">
        <w:rPr>
          <w:vertAlign w:val="superscript"/>
        </w:rPr>
        <w:t>1</w:t>
      </w:r>
      <w:r>
        <w:rPr>
          <w:vertAlign w:val="superscript"/>
        </w:rPr>
        <w:t>)</w:t>
      </w:r>
      <w:r w:rsidR="00607437">
        <w:t>Andritz Hydro GmbH,</w:t>
      </w:r>
      <w:r w:rsidR="00AA56CF">
        <w:t xml:space="preserve"> Eibesbrunnergasse 20 1120 Wien</w:t>
      </w:r>
      <w:r w:rsidR="00607437">
        <w:t xml:space="preserve"> </w:t>
      </w:r>
    </w:p>
    <w:p w:rsidR="00A07737" w:rsidRPr="005E4D4F" w:rsidRDefault="00A07737" w:rsidP="00FB69AE">
      <w:pPr>
        <w:rPr>
          <w:lang w:val="de-AT"/>
        </w:rPr>
      </w:pPr>
    </w:p>
    <w:p w:rsidR="005E4D4F" w:rsidRPr="005E4D4F" w:rsidRDefault="005E4D4F" w:rsidP="005E4D4F">
      <w:pPr>
        <w:pStyle w:val="Ueberschrift"/>
      </w:pPr>
      <w:r w:rsidRPr="005E4D4F">
        <w:t>Motivation und zentrale Fragestellung</w:t>
      </w:r>
    </w:p>
    <w:p w:rsidR="005E4D4F" w:rsidRDefault="00811656" w:rsidP="00811656">
      <w:pPr>
        <w:jc w:val="left"/>
      </w:pPr>
      <w:r>
        <w:t xml:space="preserve">Wird ein </w:t>
      </w:r>
      <w:r w:rsidR="00D0386C">
        <w:t>Microgrid</w:t>
      </w:r>
      <w:r w:rsidR="008B1DF4">
        <w:fldChar w:fldCharType="begin"/>
      </w:r>
      <w:r w:rsidR="008B1DF4">
        <w:instrText xml:space="preserve"> ADDIN ZOTERO_ITEM CSL_CITATION {"citationID":"IZPTyK1H","properties":{"formattedCitation":"[1]","plainCitation":"[1]","noteIndex":0},"citationItems":[{"id":217,"uris":["http://zotero.org/users/local/5jJSDpPQ/items/R6Y6CTM9"],"uri":["http://zotero.org/users/local/5jJSDpPQ/items/R6Y6CTM9"],"itemData":{"id":217,"type":"article-journal","title":"Microgrids: A review of technologies, key drivers, and outstanding issues","container-title":"Renewable and Sustainable Energy Reviews","page":"402-411","volume":"90","source":"ScienceDirect","abstract":"Microgrids are now emerging from lab benches and pilot demonstration sites into commercial markets, driven by technological improvements, falling costs, a proven track record, and growing recognition of their benefits. They are being used to improve reliability and resilience of electrical grids, to manage the addition of distributed clean energy resources like wind and solar photovoltaic (PV) generation to reduce fossil fuel emissions, and to provide electricity in areas not served by centralized electrical infrastructure. This review article (1) explains what a microgrid is, and (2) provides a multi-disciplinary portrait of today's microgrid drivers, real-world applications, challenges, and future prospects.","DOI":"10.1016/j.rser.2018.03.040","ISSN":"1364-0321","shortTitle":"Microgrids","journalAbbreviation":"Renewable and Sustainable Energy Reviews","author":[{"family":"Hirsch","given":"Adam"},{"family":"Parag","given":"Yael"},{"family":"Guerrero","given":"Josep"}],"issued":{"date-parts":[["2018",7,1]]}}}],"schema":"https://github.com/citation-style-language/schema/raw/master/csl-citation.json"} </w:instrText>
      </w:r>
      <w:r w:rsidR="008B1DF4">
        <w:fldChar w:fldCharType="separate"/>
      </w:r>
      <w:r w:rsidR="008B1DF4" w:rsidRPr="008B1DF4">
        <w:rPr>
          <w:rFonts w:cs="Arial"/>
        </w:rPr>
        <w:t>[1]</w:t>
      </w:r>
      <w:r w:rsidR="008B1DF4">
        <w:fldChar w:fldCharType="end"/>
      </w:r>
      <w:r w:rsidR="00D0386C">
        <w:t xml:space="preserve"> von </w:t>
      </w:r>
      <w:r>
        <w:t xml:space="preserve">einem </w:t>
      </w:r>
      <w:r w:rsidR="00AF0B9B">
        <w:t xml:space="preserve">Wasserkraftwerk </w:t>
      </w:r>
      <w:r w:rsidR="00D0386C">
        <w:t xml:space="preserve">versorgt, </w:t>
      </w:r>
      <w:r>
        <w:t xml:space="preserve">können relativ hohe Lastfluktuationen bezogen auf die Generatorleistung auftreten. Daher </w:t>
      </w:r>
      <w:r w:rsidR="00D0386C">
        <w:t xml:space="preserve">ist üblicherweise eine hohe Trägheitskonstante </w:t>
      </w:r>
      <w:r>
        <w:t>nötig</w:t>
      </w:r>
      <w:r w:rsidR="00D0386C">
        <w:t>, um Frequenzanforderungen erfüllen</w:t>
      </w:r>
      <w:r w:rsidR="0012496D">
        <w:t xml:space="preserve"> zu können</w:t>
      </w:r>
      <w:r w:rsidR="00D0386C">
        <w:t>.</w:t>
      </w:r>
      <w:r w:rsidR="00F14704">
        <w:t xml:space="preserve"> Der Einsatz des Deflektors, der </w:t>
      </w:r>
      <w:r w:rsidR="0037022F">
        <w:t xml:space="preserve">ursprünglich </w:t>
      </w:r>
      <w:r w:rsidR="00F14704">
        <w:t>für den Ausgleich von Lastabwürfen vorgesehen ist,</w:t>
      </w:r>
      <w:r w:rsidR="0037022F">
        <w:t xml:space="preserve"> ist </w:t>
      </w:r>
      <w:r w:rsidR="00F14704">
        <w:t xml:space="preserve">zur Frequenzregelung </w:t>
      </w:r>
      <w:r w:rsidR="0037022F">
        <w:t xml:space="preserve">ungeeignet, weil dies zu </w:t>
      </w:r>
      <w:r w:rsidR="00F14704">
        <w:t xml:space="preserve">einer </w:t>
      </w:r>
      <w:r w:rsidR="00390D22">
        <w:t>Reduktion</w:t>
      </w:r>
      <w:r w:rsidR="00F14704">
        <w:t xml:space="preserve"> des Wirkungsgrades </w:t>
      </w:r>
      <w:r w:rsidR="0037022F">
        <w:t>führt</w:t>
      </w:r>
      <w:r w:rsidR="00F14704">
        <w:t>.</w:t>
      </w:r>
      <w:r w:rsidR="00D0386C">
        <w:t xml:space="preserve"> </w:t>
      </w:r>
      <w:r w:rsidR="0012496D">
        <w:t>Eine alternative Möglichkeit, die Frequenzanforderungen zu erfüllen ist, eine</w:t>
      </w:r>
      <w:r w:rsidR="0037022F">
        <w:t>n</w:t>
      </w:r>
      <w:r w:rsidR="0012496D">
        <w:t xml:space="preserve"> </w:t>
      </w:r>
      <w:r w:rsidR="0037022F">
        <w:t xml:space="preserve">Speicher </w:t>
      </w:r>
      <w:r w:rsidR="0012496D">
        <w:t>zu installieren, die schnelle Frequenzänderungen kompensieren kann</w:t>
      </w:r>
      <w:r w:rsidR="008B1DF4">
        <w:fldChar w:fldCharType="begin"/>
      </w:r>
      <w:r w:rsidR="008B1DF4">
        <w:instrText xml:space="preserve"> ADDIN ZOTERO_ITEM CSL_CITATION {"citationID":"xEPJRPFA","properties":{"formattedCitation":"[2]","plainCitation":"[2]","noteIndex":0},"citationItems":[{"id":208,"uris":["http://zotero.org/users/local/5jJSDpPQ/items/C7JGFNIQ"],"uri":["http://zotero.org/users/local/5jJSDpPQ/items/C7JGFNIQ"],"itemData":{"id":208,"type":"article-journal","title":"Use cases for stationary battery technologies: A review of the literature and existing projects","container-title":"Renewable and Sustainable Energy Reviews","page":"705-721","volume":"56","source":"Crossref","abstract":"In electricity systems with a high penetration of wind and solar power generation, electricity storage can be employed to balance power supply and demand. In recent years, stationary batteries are receiving a particularly high degree of attention as they can be used to provide several services in modern electricity systems. However, while a rising number of such battery systems are deployed globally, academic literature has not addressed the trends in deployment of these battery technologies. Thus, this study strives to address this gap by identifying and describing the most attractive use cases for stationary battery technologies on mainland and island electricity systems in two steps. First, the existing literature on applications, profitability and use cases of battery technologies has been reviewed. Second, based on analyses of a database of battery installations and of 26 interviews with industry and academia experts, the six most prevalent use cases have been identified and are presented in this paper. We describe these use cases in detail, highlighting their drivers, sources of value creation and risks.","DOI":"10.1016/j.rser.2015.11.085","ISSN":"13640321","shortTitle":"Use cases for stationary battery technologies","language":"en","author":[{"family":"Malhotra","given":"Abhishek"},{"family":"Battke","given":"Benedikt"},{"family":"Beuse","given":"Martin"},{"family":"Stephan","given":"Annegret"},{"family":"Schmidt","given":"Tobias"}],"issued":{"date-parts":[["2016",4]]}}}],"schema":"https://github.com/citation-style-language/schema/raw/master/csl-citation.json"} </w:instrText>
      </w:r>
      <w:r w:rsidR="008B1DF4">
        <w:fldChar w:fldCharType="separate"/>
      </w:r>
      <w:r w:rsidR="008B1DF4" w:rsidRPr="008B1DF4">
        <w:rPr>
          <w:rFonts w:cs="Arial"/>
        </w:rPr>
        <w:t>[2]</w:t>
      </w:r>
      <w:r w:rsidR="008B1DF4">
        <w:fldChar w:fldCharType="end"/>
      </w:r>
      <w:r w:rsidR="0012496D">
        <w:t xml:space="preserve">. </w:t>
      </w:r>
      <w:r>
        <w:t xml:space="preserve">Dadurch kann das </w:t>
      </w:r>
      <w:r w:rsidR="00F14704">
        <w:t xml:space="preserve">hydraulisch/mechanische System des </w:t>
      </w:r>
      <w:r w:rsidR="00AF0B9B">
        <w:t xml:space="preserve">Wasserkraftwerks </w:t>
      </w:r>
      <w:r w:rsidR="00F14704">
        <w:t xml:space="preserve">entlastet und die Effizienz und Lebensdauer des Gesamtsystems optimiert werden. </w:t>
      </w:r>
    </w:p>
    <w:p w:rsidR="002A597B" w:rsidRPr="005E4D4F" w:rsidRDefault="002A597B" w:rsidP="003F3E44">
      <w:pPr>
        <w:jc w:val="left"/>
      </w:pPr>
      <w:r>
        <w:t xml:space="preserve">In diesem Beitrag wird </w:t>
      </w:r>
      <w:r w:rsidR="003F3E44">
        <w:t xml:space="preserve">die </w:t>
      </w:r>
      <w:r w:rsidR="0037022F">
        <w:t xml:space="preserve">Anforderung hinsichtlich </w:t>
      </w:r>
      <w:r w:rsidR="003F3E44">
        <w:t xml:space="preserve">Leistung und Energie eines </w:t>
      </w:r>
      <w:r w:rsidR="00E803D3">
        <w:rPr>
          <w:lang w:val="de-AT"/>
        </w:rPr>
        <w:t xml:space="preserve">Batteriespeichers </w:t>
      </w:r>
      <w:r w:rsidR="003F3E44">
        <w:t xml:space="preserve">quantifiziert, die für den </w:t>
      </w:r>
      <w:r w:rsidR="0037022F">
        <w:t xml:space="preserve">konkreten </w:t>
      </w:r>
      <w:r w:rsidR="003F3E44">
        <w:t xml:space="preserve">Anwendungsfall „Frequenzregelung“ </w:t>
      </w:r>
      <w:r w:rsidR="0037022F">
        <w:t xml:space="preserve">in einem Industrienetz </w:t>
      </w:r>
      <w:r w:rsidR="003F3E44">
        <w:t xml:space="preserve">benötigt wird. Aufgrund dieser Anforderungen wird ermittelt, welche Speichertechnologien für diesen Anwendungsfall </w:t>
      </w:r>
      <w:r w:rsidR="0037022F">
        <w:t xml:space="preserve">am besten </w:t>
      </w:r>
      <w:r w:rsidR="003F3E44">
        <w:t>geeignet sind.</w:t>
      </w:r>
    </w:p>
    <w:p w:rsidR="005E4D4F" w:rsidRPr="005E4D4F" w:rsidRDefault="005E4D4F" w:rsidP="005E4D4F">
      <w:pPr>
        <w:pStyle w:val="Ueberschrift"/>
      </w:pPr>
      <w:r w:rsidRPr="005E4D4F">
        <w:t>Methodische Vorgangsweise</w:t>
      </w:r>
    </w:p>
    <w:p w:rsidR="005846D4" w:rsidRDefault="00AF0B9B" w:rsidP="00227125">
      <w:r>
        <w:t xml:space="preserve">Das </w:t>
      </w:r>
      <w:r w:rsidR="005846D4">
        <w:t xml:space="preserve">Industrienetz befindet </w:t>
      </w:r>
      <w:r w:rsidR="00CA7773">
        <w:t xml:space="preserve">in </w:t>
      </w:r>
      <w:r w:rsidR="005846D4">
        <w:t xml:space="preserve">12km </w:t>
      </w:r>
      <w:r w:rsidR="00CA7773">
        <w:t xml:space="preserve">Entfernung von einem </w:t>
      </w:r>
      <w:r>
        <w:t>Wasserkraftwerk (8,8 MW Pelton-Turbine)</w:t>
      </w:r>
      <w:r w:rsidR="005846D4">
        <w:t xml:space="preserve">, dass die Industrieanlage im Inselbetrieb versorgen soll. Die Generatornennscheinleistung beträgt 9,5 MVA und das Trägheitsmoment 8500kgm². </w:t>
      </w:r>
      <w:r w:rsidR="00CA7773">
        <w:t xml:space="preserve">Ein effizienter und wirtschaftlicher Inselbetrieb ist ohne </w:t>
      </w:r>
      <w:r w:rsidR="0037022F">
        <w:t>einen zusätzlichen Batteriespeicher</w:t>
      </w:r>
      <w:r w:rsidR="00CA7773">
        <w:t xml:space="preserve"> zur schnellen Frequenzregelung nicht möglich.</w:t>
      </w:r>
    </w:p>
    <w:p w:rsidR="00613086" w:rsidRDefault="00613086" w:rsidP="00613086">
      <w:r>
        <w:t xml:space="preserve">Die benötigte Leistung und Energie des </w:t>
      </w:r>
      <w:r w:rsidR="00E803D3">
        <w:rPr>
          <w:lang w:val="de-AT"/>
        </w:rPr>
        <w:t>Batteriespeicher</w:t>
      </w:r>
      <w:r w:rsidR="00E803D3">
        <w:t xml:space="preserve">s </w:t>
      </w:r>
      <w:r>
        <w:t>werden mit Hilfe von gemessenen Lastprofilen der Industrie</w:t>
      </w:r>
      <w:r w:rsidR="00E803D3">
        <w:t>a</w:t>
      </w:r>
      <w:r>
        <w:t>nlage ermittelt. Dabei wird, um</w:t>
      </w:r>
      <w:r w:rsidR="00AF0B9B">
        <w:t xml:space="preserve"> auch</w:t>
      </w:r>
      <w:r>
        <w:t xml:space="preserve"> die Stabilität des Gesamtsystems zu evaluieren, das hydraulisch/mechanische System des </w:t>
      </w:r>
      <w:r w:rsidR="00AF0B9B">
        <w:t xml:space="preserve">Wasserkraftwerks </w:t>
      </w:r>
      <w:r>
        <w:t xml:space="preserve">mitberücksichtigt. </w:t>
      </w:r>
    </w:p>
    <w:p w:rsidR="00AF5FB1" w:rsidRDefault="005846D4" w:rsidP="00227125">
      <w:pPr>
        <w:rPr>
          <w:lang w:val="de-AT"/>
        </w:rPr>
      </w:pPr>
      <w:r>
        <w:rPr>
          <w:lang w:val="de-AT"/>
        </w:rPr>
        <w:t xml:space="preserve">In </w:t>
      </w:r>
      <w:r w:rsidR="00AF5FB1">
        <w:rPr>
          <w:lang w:val="de-AT"/>
        </w:rPr>
        <w:fldChar w:fldCharType="begin"/>
      </w:r>
      <w:r w:rsidR="00AF5FB1">
        <w:rPr>
          <w:lang w:val="de-AT"/>
        </w:rPr>
        <w:instrText xml:space="preserve"> REF _Ref528755247 \h </w:instrText>
      </w:r>
      <w:r w:rsidR="00AF5FB1">
        <w:rPr>
          <w:lang w:val="de-AT"/>
        </w:rPr>
      </w:r>
      <w:r w:rsidR="00AF5FB1">
        <w:rPr>
          <w:lang w:val="de-AT"/>
        </w:rPr>
        <w:fldChar w:fldCharType="separate"/>
      </w:r>
      <w:r w:rsidR="00AF5FB1">
        <w:t xml:space="preserve">Abbildung </w:t>
      </w:r>
      <w:r w:rsidR="00AF5FB1">
        <w:rPr>
          <w:noProof/>
        </w:rPr>
        <w:t>1</w:t>
      </w:r>
      <w:r w:rsidR="00AF5FB1">
        <w:rPr>
          <w:lang w:val="de-AT"/>
        </w:rPr>
        <w:fldChar w:fldCharType="end"/>
      </w:r>
      <w:r>
        <w:rPr>
          <w:lang w:val="de-AT"/>
        </w:rPr>
        <w:t xml:space="preserve"> ist </w:t>
      </w:r>
      <w:r w:rsidR="00CA7773">
        <w:rPr>
          <w:lang w:val="de-AT"/>
        </w:rPr>
        <w:t xml:space="preserve">der Verlauf der Wirk- und Blindleistung eines der vier Anlagenteile in 5-Sekunden Auflösung über 2 Tage dargestellt. </w:t>
      </w:r>
      <w:r w:rsidR="00E803D3">
        <w:rPr>
          <w:lang w:val="de-AT"/>
        </w:rPr>
        <w:t xml:space="preserve">Anhand der Messungen ist ersichtlich, dass relativ hohe Lastsprünge auftreten, die vom </w:t>
      </w:r>
      <w:r w:rsidR="0037022F">
        <w:rPr>
          <w:lang w:val="de-AT"/>
        </w:rPr>
        <w:t>Speicher</w:t>
      </w:r>
      <w:r w:rsidR="00E803D3">
        <w:rPr>
          <w:lang w:val="de-AT"/>
        </w:rPr>
        <w:t xml:space="preserve"> ausgeglichen werden müssen</w:t>
      </w:r>
      <w:r w:rsidR="008630ED">
        <w:rPr>
          <w:lang w:val="de-AT"/>
        </w:rPr>
        <w:t>, da</w:t>
      </w:r>
      <w:r w:rsidR="00E803D3">
        <w:rPr>
          <w:lang w:val="de-AT"/>
        </w:rPr>
        <w:t xml:space="preserve"> </w:t>
      </w:r>
      <w:r w:rsidR="008630ED">
        <w:rPr>
          <w:lang w:val="de-AT"/>
        </w:rPr>
        <w:t>d</w:t>
      </w:r>
      <w:r w:rsidR="005C5395">
        <w:rPr>
          <w:lang w:val="de-AT"/>
        </w:rPr>
        <w:t xml:space="preserve">er Deflektor zur Ausgleichung von Lastsprüngen </w:t>
      </w:r>
      <w:r w:rsidR="008630ED">
        <w:rPr>
          <w:lang w:val="de-AT"/>
        </w:rPr>
        <w:t>ungeeignet ist und das Wasserkraftwerk dem Leistungsbedarf nur mit einem limitierten Gradienten folgen kann</w:t>
      </w:r>
      <w:r w:rsidR="005C5395">
        <w:rPr>
          <w:lang w:val="de-AT"/>
        </w:rPr>
        <w:t xml:space="preserve">. </w:t>
      </w:r>
      <w:r w:rsidR="00E803D3">
        <w:rPr>
          <w:lang w:val="de-AT"/>
        </w:rPr>
        <w:t xml:space="preserve">Zum Ausgleich von Lastabwürfen stehen </w:t>
      </w:r>
      <w:r w:rsidR="008630ED">
        <w:rPr>
          <w:lang w:val="de-AT"/>
        </w:rPr>
        <w:t xml:space="preserve">jedoch </w:t>
      </w:r>
      <w:r w:rsidR="005C5395">
        <w:rPr>
          <w:lang w:val="de-AT"/>
        </w:rPr>
        <w:t xml:space="preserve">prinzipiell </w:t>
      </w:r>
      <w:r w:rsidR="00E803D3">
        <w:rPr>
          <w:lang w:val="de-AT"/>
        </w:rPr>
        <w:t>sowohl der Batteriespeicher als auch der Deflektor de</w:t>
      </w:r>
      <w:r w:rsidR="005C5395">
        <w:rPr>
          <w:lang w:val="de-AT"/>
        </w:rPr>
        <w:t>r</w:t>
      </w:r>
      <w:r w:rsidR="00E803D3">
        <w:rPr>
          <w:lang w:val="de-AT"/>
        </w:rPr>
        <w:t xml:space="preserve"> </w:t>
      </w:r>
      <w:r w:rsidR="008630ED">
        <w:t>Pelton-T</w:t>
      </w:r>
      <w:r w:rsidR="005C5395">
        <w:t xml:space="preserve">urbine </w:t>
      </w:r>
      <w:r w:rsidR="00E803D3">
        <w:t>zur Verfügung.</w:t>
      </w:r>
      <w:r w:rsidR="005C5395">
        <w:t xml:space="preserve"> </w:t>
      </w:r>
      <w:r w:rsidR="008630ED">
        <w:t>Somit sind die zu erwartenden Lastsprünge maßgeb</w:t>
      </w:r>
      <w:r w:rsidR="0045792D">
        <w:t>lich</w:t>
      </w:r>
      <w:r w:rsidR="008630ED">
        <w:t xml:space="preserve"> für die erforderliche Leistung des Batteriespeichers.</w:t>
      </w:r>
    </w:p>
    <w:p w:rsidR="00AF5FB1" w:rsidRDefault="00C70B12" w:rsidP="00AF5FB1">
      <w:pPr>
        <w:keepNext/>
      </w:pPr>
      <w:r>
        <w:rPr>
          <w:noProof/>
          <w:lang w:eastAsia="de-DE"/>
        </w:rPr>
        <w:drawing>
          <wp:inline distT="0" distB="0" distL="0" distR="0">
            <wp:extent cx="5753100" cy="2876550"/>
            <wp:effectExtent l="19050" t="0" r="0" b="0"/>
            <wp:docPr id="1" name="Picture 1" descr="C:\BACKUP\Conferences&amp;papers\2018-11-14-ViennaHydro2018\20 paper\107\pics\temppow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Conferences&amp;papers\2018-11-14-ViennaHydro2018\20 paper\107\pics\temppower01.png"/>
                    <pic:cNvPicPr>
                      <a:picLocks noChangeAspect="1" noChangeArrowheads="1"/>
                    </pic:cNvPicPr>
                  </pic:nvPicPr>
                  <pic:blipFill>
                    <a:blip r:embed="rId8" cstate="print"/>
                    <a:srcRect/>
                    <a:stretch>
                      <a:fillRect/>
                    </a:stretch>
                  </pic:blipFill>
                  <pic:spPr bwMode="auto">
                    <a:xfrm>
                      <a:off x="0" y="0"/>
                      <a:ext cx="5753100" cy="2876550"/>
                    </a:xfrm>
                    <a:prstGeom prst="rect">
                      <a:avLst/>
                    </a:prstGeom>
                    <a:noFill/>
                    <a:ln w="9525">
                      <a:noFill/>
                      <a:miter lim="800000"/>
                      <a:headEnd/>
                      <a:tailEnd/>
                    </a:ln>
                  </pic:spPr>
                </pic:pic>
              </a:graphicData>
            </a:graphic>
          </wp:inline>
        </w:drawing>
      </w:r>
    </w:p>
    <w:p w:rsidR="00AF5FB1" w:rsidRPr="002946B8" w:rsidRDefault="00AF5FB1" w:rsidP="00AF5FB1">
      <w:pPr>
        <w:pStyle w:val="Abbildungsbeschriftung"/>
      </w:pPr>
      <w:bookmarkStart w:id="0" w:name="_Ref528755247"/>
      <w:r>
        <w:t xml:space="preserve">Abbildung </w:t>
      </w:r>
      <w:fldSimple w:instr=" SEQ Abbildung \* ARABIC ">
        <w:r>
          <w:rPr>
            <w:noProof/>
          </w:rPr>
          <w:t>1</w:t>
        </w:r>
      </w:fldSimple>
      <w:bookmarkEnd w:id="0"/>
      <w:r>
        <w:t xml:space="preserve"> Verlauf der Wirk- und Blindleistung einer Anlage (2 Tage)</w:t>
      </w:r>
    </w:p>
    <w:p w:rsidR="00AF5FB1" w:rsidRDefault="00AF5FB1" w:rsidP="00227125"/>
    <w:p w:rsidR="003F3E44" w:rsidRDefault="00AF5FB1" w:rsidP="00227125">
      <w:r>
        <w:lastRenderedPageBreak/>
        <w:t xml:space="preserve">In </w:t>
      </w:r>
      <w:r>
        <w:fldChar w:fldCharType="begin"/>
      </w:r>
      <w:r>
        <w:instrText xml:space="preserve"> REF _Ref528755049 \h </w:instrText>
      </w:r>
      <w:r>
        <w:fldChar w:fldCharType="separate"/>
      </w:r>
      <w:r w:rsidRPr="00940A7D">
        <w:rPr>
          <w:szCs w:val="20"/>
        </w:rPr>
        <w:t xml:space="preserve">Tabelle </w:t>
      </w:r>
      <w:r w:rsidRPr="00940A7D">
        <w:rPr>
          <w:noProof/>
          <w:szCs w:val="20"/>
        </w:rPr>
        <w:t>1</w:t>
      </w:r>
      <w:r>
        <w:fldChar w:fldCharType="end"/>
      </w:r>
      <w:r>
        <w:t xml:space="preserve"> werden Speichertechnologien, die prinzipiell für den Anwendungsfall Frequenzregelung geeignet sind quantitativ beschrieben. </w:t>
      </w:r>
      <w:r w:rsidR="00E803D3">
        <w:t>Anhand der Ergebnisse der Simulationen, wird ermittelt, welche Speichertechnologie am geeignetsten für den betrachteten Anwendungsfall ist.</w:t>
      </w:r>
    </w:p>
    <w:p w:rsidR="00AF5FB1" w:rsidRDefault="00AF5FB1" w:rsidP="00227125"/>
    <w:p w:rsidR="00AF5FB1" w:rsidRPr="00940A7D" w:rsidRDefault="00AF5FB1" w:rsidP="00AF5FB1">
      <w:pPr>
        <w:pStyle w:val="Beschriftung"/>
        <w:keepNext/>
      </w:pPr>
      <w:bookmarkStart w:id="1" w:name="_Ref528755049"/>
      <w:r w:rsidRPr="00940A7D">
        <w:t xml:space="preserve">Tabelle </w:t>
      </w:r>
      <w:fldSimple w:instr=" SEQ Tabelle \* ARABIC ">
        <w:r w:rsidRPr="00940A7D">
          <w:rPr>
            <w:noProof/>
          </w:rPr>
          <w:t>1</w:t>
        </w:r>
      </w:fldSimple>
      <w:bookmarkEnd w:id="1"/>
      <w:r w:rsidRPr="00940A7D">
        <w:t xml:space="preserve"> </w:t>
      </w:r>
      <w:r w:rsidR="008B1DF4">
        <w:t xml:space="preserve">In Betracht kommende </w:t>
      </w:r>
      <w:r>
        <w:t>Speichertechnologien</w:t>
      </w:r>
      <w:r w:rsidR="008B1DF4">
        <w:fldChar w:fldCharType="begin"/>
      </w:r>
      <w:r w:rsidR="008B1DF4">
        <w:instrText xml:space="preserve"> ADDIN ZOTERO_ITEM CSL_CITATION {"citationID":"nVkHlrGN","properties":{"formattedCitation":"[3]\\uc0\\u8211{}[6]","plainCitation":"[3]–[6]","noteIndex":0},"citationItems":[{"id":275,"uris":["http://zotero.org/users/local/5jJSDpPQ/items/9SYRJ4I6"],"uri":["http://zotero.org/users/local/5jJSDpPQ/items/9SYRJ4I6"],"itemData":{"id":275,"type":"article-journal","title":"A Critical Study of Stationary Energy Storage Policies in Australia in an International Context: The Role of Hydrogen and Battery Technologies","container-title":"Energies","page":"674","volume":"9","issue":"9","source":"www.mdpi.com","abstract":"This paper provides a critical study of current Australian and leading international policies aimed at supporting electrical energy storage for stationary power applications with a focus on battery and hydrogen storage technologies. It demonstrates that global leaders such as Germany and the U.S. are actively taking steps to support energy storage technologies through policy and regulatory change. This is principally to integrate increasing amounts of intermittent renewable energy (wind and solar) that will be required to meet high renewable energy targets. The relevance of this to the Australian energy market is that whilst it is unique, it does have aspects in common with the energy markets of these global leaders. This includes regions of high concentrations of intermittent renewable energy (Texas and California) and high penetration rates of residential solar photovoltaics (PV) (Germany). Therefore, Australian policy makers have a good opportunity to observe what is working in an international context to support energy storage. These learnings can then be used to help shape future policy directions and guide Australia along the path to a sustainable energy future.","DOI":"10.3390/en9090674","shortTitle":"A Critical Study of Stationary Energy Storage Policies in Australia in an International Context","language":"en","author":[{"family":"Moore","given":"Jason"},{"family":"Shabani","given":"Bahman"},{"family":"Moore","given":"Jason"},{"family":"Shabani","given":"Bahman"}],"issued":{"date-parts":[["2016",8,24]]}}},{"id":213,"uris":["http://zotero.org/users/local/5jJSDpPQ/items/AAH499EU"],"uri":["http://zotero.org/users/local/5jJSDpPQ/items/AAH499EU"],"itemData":{"id":213,"type":"article-journal","title":"Development and Demonstration of Redox Flow Battery System","container-title":"SEI Technical Review - Number 84","page":"7","source":"Zotero","language":"en","author":[{"family":"Yano","given":"Keiji"},{"family":"Hayashi","given":"Shuji"},{"family":"Kumamoto","given":"Takahiro"},{"family":"Shibata","given":"Toshikazu"},{"family":"Yamanishi","given":"Katsuya"},{"family":"Fujikawa","given":"Kazuhiro"}],"issued":{"date-parts":[["2017"]]}}},{"id":20,"uris":["http://zotero.org/users/local/5jJSDpPQ/items/WPTPKH9Y"],"uri":["http://zotero.org/users/local/5jJSDpPQ/items/WPTPKH9Y"],"itemData":{"id":20,"type":"report","title":"DOE/EPRI Electricity Storage Handbook in Collaboration with NRECA","source":"Crossref","abstract":"The Electricity Storage Handbook (Handbook) is a how-to guide for utility and rural cooperative engineers, planners, and decision makers to plan and implement energy storage projects. The Handbook also serves as an information resource for investors and venture capitalists, providing the latest developments in technologies and tools to guide their evaluations of energy storage opportunities. It includes a comprehensive database of the cost of current storage systems in a wide variety of electric utility and customer services, along with interconnection schematics. A list of significant past and present energy storage projects is provided for a practical perspective. This Handbook, jointly sponsored by the U.S. Department of Energy and the Electric Power Research Institute in collaboration with the National Rural Electric Cooperative Association, is published in electronic form at www.sandia.gov/ess.","URL":"http://www.osti.gov/servlets/purl/1170618/","note":"DOI: 10.2172/1170618","number":"SAND2015-1002, 1170618","language":"en","author":[{"family":"Akhil","given":"Abbas Ali"},{"family":"Huff","given":"Georgianne"},{"family":"Currier","given":"Aileen B."},{"family":"Kaun","given":"Benjamin C"},{"family":"Rastler","given":"Dan M."},{"family":"Chen","given":"Stella Bingqing"},{"family":"Cotter","given":"Andrew L."},{"family":"Bradshaw","given":"Dale T."},{"family":"Gauntlett","given":"William D."}],"issued":{"date-parts":[["2015",2,1]]},"accessed":{"date-parts":[["2018",7,5]]}}},{"id":241,"uris":["http://zotero.org/users/local/5jJSDpPQ/items/AAKFYB4E"],"uri":["http://zotero.org/users/local/5jJSDpPQ/items/AAKFYB4E"],"itemData":{"id":241,"type":"article-journal","title":"Electrical energy storage systems A comparative life cycle cost analysis (2015)","source":"ResearchGate","author":[{"family":"Zakeri","given":"Behnam"},{"family":"Syri","given":"Sanna"}],"issued":{"date-parts":[["2015",8,27]]}}}],"schema":"https://github.com/citation-style-language/schema/raw/master/csl-citation.json"} </w:instrText>
      </w:r>
      <w:r w:rsidR="008B1DF4">
        <w:fldChar w:fldCharType="separate"/>
      </w:r>
      <w:r w:rsidR="008B1DF4" w:rsidRPr="008B1DF4">
        <w:rPr>
          <w:rFonts w:cs="Arial"/>
          <w:szCs w:val="24"/>
        </w:rPr>
        <w:t>[3]–[6]</w:t>
      </w:r>
      <w:r w:rsidR="008B1DF4">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912"/>
      </w:tblGrid>
      <w:tr w:rsidR="00AF5FB1" w:rsidRPr="00940A7D" w:rsidTr="00BB593A">
        <w:tc>
          <w:tcPr>
            <w:tcW w:w="2376" w:type="dxa"/>
            <w:shd w:val="clear" w:color="auto" w:fill="auto"/>
          </w:tcPr>
          <w:p w:rsidR="00AF5FB1" w:rsidRPr="00940A7D" w:rsidRDefault="00AF5FB1" w:rsidP="00BB593A">
            <w:pPr>
              <w:rPr>
                <w:rFonts w:eastAsia="Calibri"/>
                <w:b/>
                <w:szCs w:val="20"/>
              </w:rPr>
            </w:pPr>
            <w:r w:rsidRPr="00940A7D">
              <w:rPr>
                <w:rFonts w:eastAsia="Calibri"/>
                <w:b/>
                <w:szCs w:val="20"/>
              </w:rPr>
              <w:t>Technologie</w:t>
            </w:r>
          </w:p>
        </w:tc>
        <w:tc>
          <w:tcPr>
            <w:tcW w:w="6912" w:type="dxa"/>
            <w:shd w:val="clear" w:color="auto" w:fill="auto"/>
          </w:tcPr>
          <w:p w:rsidR="00AF5FB1" w:rsidRPr="00940A7D" w:rsidRDefault="00AF5FB1" w:rsidP="00BB593A">
            <w:pPr>
              <w:rPr>
                <w:rFonts w:eastAsia="Calibri"/>
                <w:b/>
                <w:szCs w:val="20"/>
              </w:rPr>
            </w:pPr>
            <w:r w:rsidRPr="00940A7D">
              <w:rPr>
                <w:rFonts w:eastAsia="Calibri"/>
                <w:b/>
                <w:szCs w:val="20"/>
              </w:rPr>
              <w:t>Quantitative Beschreibung</w:t>
            </w:r>
          </w:p>
        </w:tc>
      </w:tr>
      <w:tr w:rsidR="00AF5FB1" w:rsidRPr="00940A7D" w:rsidTr="00BB593A">
        <w:tc>
          <w:tcPr>
            <w:tcW w:w="2376" w:type="dxa"/>
            <w:shd w:val="clear" w:color="auto" w:fill="auto"/>
          </w:tcPr>
          <w:p w:rsidR="00AF5FB1" w:rsidRPr="00940A7D" w:rsidRDefault="00AF5FB1" w:rsidP="00BB593A">
            <w:pPr>
              <w:rPr>
                <w:rFonts w:eastAsia="Calibri"/>
                <w:szCs w:val="20"/>
              </w:rPr>
            </w:pPr>
            <w:r w:rsidRPr="00940A7D">
              <w:rPr>
                <w:rFonts w:eastAsia="Calibri"/>
                <w:szCs w:val="20"/>
              </w:rPr>
              <w:t>Li-Ion Speicher</w:t>
            </w:r>
          </w:p>
        </w:tc>
        <w:tc>
          <w:tcPr>
            <w:tcW w:w="6912" w:type="dxa"/>
            <w:shd w:val="clear" w:color="auto" w:fill="auto"/>
          </w:tcPr>
          <w:p w:rsidR="00AF5FB1" w:rsidRPr="00940A7D" w:rsidRDefault="00AF5FB1" w:rsidP="00BB593A">
            <w:pPr>
              <w:rPr>
                <w:rFonts w:eastAsia="Calibri"/>
                <w:szCs w:val="20"/>
                <w:lang w:val="de-AT"/>
              </w:rPr>
            </w:pPr>
            <w:r w:rsidRPr="00940A7D">
              <w:rPr>
                <w:rFonts w:eastAsia="Calibri"/>
                <w:szCs w:val="20"/>
                <w:lang w:val="de-AT"/>
              </w:rPr>
              <w:t>Lebensdauer hängt von der (Mikro-) Zyklenzahl ab, geringe Selbstentladung, Energie typischerweise für 1 h – 4 h</w:t>
            </w:r>
          </w:p>
        </w:tc>
      </w:tr>
      <w:tr w:rsidR="00AF5FB1" w:rsidRPr="00940A7D" w:rsidTr="00BB593A">
        <w:tc>
          <w:tcPr>
            <w:tcW w:w="2376" w:type="dxa"/>
            <w:shd w:val="clear" w:color="auto" w:fill="auto"/>
          </w:tcPr>
          <w:p w:rsidR="00AF5FB1" w:rsidRPr="00940A7D" w:rsidRDefault="00AF5FB1" w:rsidP="00BB593A">
            <w:pPr>
              <w:rPr>
                <w:rFonts w:eastAsia="Calibri"/>
                <w:szCs w:val="20"/>
              </w:rPr>
            </w:pPr>
            <w:r w:rsidRPr="00940A7D">
              <w:rPr>
                <w:rFonts w:eastAsia="Calibri"/>
                <w:szCs w:val="20"/>
              </w:rPr>
              <w:t>Flow Batterien</w:t>
            </w:r>
          </w:p>
        </w:tc>
        <w:tc>
          <w:tcPr>
            <w:tcW w:w="6912" w:type="dxa"/>
            <w:shd w:val="clear" w:color="auto" w:fill="auto"/>
          </w:tcPr>
          <w:p w:rsidR="00AF5FB1" w:rsidRPr="00940A7D" w:rsidRDefault="00AF5FB1" w:rsidP="00BB593A">
            <w:pPr>
              <w:rPr>
                <w:rFonts w:eastAsia="Calibri"/>
                <w:szCs w:val="20"/>
                <w:lang w:val="de-AT"/>
              </w:rPr>
            </w:pPr>
            <w:r w:rsidRPr="00940A7D">
              <w:rPr>
                <w:rFonts w:eastAsia="Calibri"/>
                <w:szCs w:val="20"/>
                <w:lang w:val="de-AT"/>
              </w:rPr>
              <w:t>Hohe Zyklenzahl, Hoher Energieinhalt, Leistung/Energie entkoppelt, geringe Selbstentladung</w:t>
            </w:r>
          </w:p>
        </w:tc>
      </w:tr>
      <w:tr w:rsidR="00AF5FB1" w:rsidRPr="00940A7D" w:rsidTr="00BB593A">
        <w:tc>
          <w:tcPr>
            <w:tcW w:w="2376" w:type="dxa"/>
            <w:tcBorders>
              <w:bottom w:val="single" w:sz="4" w:space="0" w:color="auto"/>
            </w:tcBorders>
            <w:shd w:val="clear" w:color="auto" w:fill="auto"/>
          </w:tcPr>
          <w:p w:rsidR="00AF5FB1" w:rsidRPr="00940A7D" w:rsidRDefault="00AF5FB1" w:rsidP="00BB593A">
            <w:pPr>
              <w:rPr>
                <w:rFonts w:eastAsia="Calibri"/>
                <w:szCs w:val="20"/>
              </w:rPr>
            </w:pPr>
            <w:r w:rsidRPr="00940A7D">
              <w:rPr>
                <w:rFonts w:eastAsia="Calibri"/>
                <w:szCs w:val="20"/>
              </w:rPr>
              <w:t>Super (Ultra) Caps</w:t>
            </w:r>
          </w:p>
        </w:tc>
        <w:tc>
          <w:tcPr>
            <w:tcW w:w="6912" w:type="dxa"/>
            <w:tcBorders>
              <w:bottom w:val="single" w:sz="4" w:space="0" w:color="auto"/>
            </w:tcBorders>
            <w:shd w:val="clear" w:color="auto" w:fill="auto"/>
          </w:tcPr>
          <w:p w:rsidR="00AF5FB1" w:rsidRPr="00940A7D" w:rsidRDefault="00AF5FB1" w:rsidP="00BB593A">
            <w:pPr>
              <w:rPr>
                <w:rFonts w:eastAsia="Calibri"/>
                <w:szCs w:val="20"/>
                <w:lang w:val="de-AT"/>
              </w:rPr>
            </w:pPr>
            <w:r w:rsidRPr="00940A7D">
              <w:rPr>
                <w:rFonts w:eastAsia="Calibri"/>
                <w:szCs w:val="20"/>
                <w:lang w:val="de-AT"/>
              </w:rPr>
              <w:t>Hohe Zyklenzahl, Energie für Sekunden-Minuten, geringe Selbstentladung</w:t>
            </w:r>
          </w:p>
        </w:tc>
      </w:tr>
      <w:tr w:rsidR="00AF5FB1" w:rsidRPr="00940A7D" w:rsidTr="00BB593A">
        <w:tc>
          <w:tcPr>
            <w:tcW w:w="2376" w:type="dxa"/>
            <w:tcBorders>
              <w:bottom w:val="single" w:sz="4" w:space="0" w:color="auto"/>
            </w:tcBorders>
            <w:shd w:val="clear" w:color="auto" w:fill="auto"/>
          </w:tcPr>
          <w:p w:rsidR="00AF5FB1" w:rsidRPr="00940A7D" w:rsidRDefault="00AF5FB1" w:rsidP="00BB593A">
            <w:pPr>
              <w:rPr>
                <w:rFonts w:eastAsia="Calibri"/>
                <w:szCs w:val="20"/>
              </w:rPr>
            </w:pPr>
            <w:r w:rsidRPr="00940A7D">
              <w:rPr>
                <w:rFonts w:eastAsia="Calibri"/>
                <w:szCs w:val="20"/>
              </w:rPr>
              <w:t>Schwungradspeicher</w:t>
            </w:r>
          </w:p>
        </w:tc>
        <w:tc>
          <w:tcPr>
            <w:tcW w:w="6912" w:type="dxa"/>
            <w:tcBorders>
              <w:bottom w:val="single" w:sz="4" w:space="0" w:color="auto"/>
            </w:tcBorders>
            <w:shd w:val="clear" w:color="auto" w:fill="auto"/>
          </w:tcPr>
          <w:p w:rsidR="00AF5FB1" w:rsidRPr="00940A7D" w:rsidRDefault="00AF5FB1" w:rsidP="00BB593A">
            <w:pPr>
              <w:rPr>
                <w:rFonts w:eastAsia="Calibri"/>
                <w:szCs w:val="20"/>
                <w:lang w:val="de-AT"/>
              </w:rPr>
            </w:pPr>
            <w:r w:rsidRPr="00940A7D">
              <w:rPr>
                <w:rFonts w:eastAsia="Calibri"/>
                <w:szCs w:val="20"/>
                <w:lang w:val="de-AT"/>
              </w:rPr>
              <w:t>Hohe Zyklenzahl, Energie für einige Minuten, Selbstentladungsrate abhängig von der Auslegung</w:t>
            </w:r>
          </w:p>
        </w:tc>
      </w:tr>
    </w:tbl>
    <w:p w:rsidR="00AF5FB1" w:rsidRPr="00AF5FB1" w:rsidRDefault="00AF5FB1" w:rsidP="00227125">
      <w:pPr>
        <w:rPr>
          <w:lang w:val="de-AT"/>
        </w:rPr>
      </w:pPr>
    </w:p>
    <w:p w:rsidR="005E4D4F" w:rsidRPr="005E4D4F" w:rsidRDefault="005E4D4F" w:rsidP="005E4D4F">
      <w:pPr>
        <w:pStyle w:val="Ueberschrift"/>
      </w:pPr>
      <w:r w:rsidRPr="005E4D4F">
        <w:t>Ergebnisse und Schlussfolgerungen</w:t>
      </w:r>
    </w:p>
    <w:p w:rsidR="002A597B" w:rsidRDefault="002A597B" w:rsidP="002A597B">
      <w:r>
        <w:t>Die für die Messreihe ermittelte Energie</w:t>
      </w:r>
      <w:r w:rsidR="00A3038D">
        <w:t xml:space="preserve"> die vom Batteriespeicher bereitgestellt werden müsste, </w:t>
      </w:r>
      <w:r>
        <w:t xml:space="preserve">ist sehr gering. Für den Einsatz im Inselnetz zur Frequenzregelung, können alle erwähnten Speichertechnologien </w:t>
      </w:r>
      <w:r w:rsidR="003F3E44">
        <w:t xml:space="preserve">prinzipiell </w:t>
      </w:r>
      <w:r>
        <w:t>eingesetzt werden.</w:t>
      </w:r>
      <w:r w:rsidR="003F3E44">
        <w:t xml:space="preserve"> Auf dem Markt verfügbare Li-Ion-Speicher können jedoch wesentlich mehr Energie bereitstellen als für den Anwendungsfall „Frequenzregelung“ </w:t>
      </w:r>
      <w:r w:rsidR="00390D22">
        <w:t xml:space="preserve">alleine </w:t>
      </w:r>
      <w:r w:rsidR="003F3E44">
        <w:t>erforderlich ist</w:t>
      </w:r>
      <w:r w:rsidR="00A3038D">
        <w:t xml:space="preserve">, </w:t>
      </w:r>
      <w:r w:rsidR="0037022F">
        <w:t>können</w:t>
      </w:r>
      <w:r w:rsidR="00A3038D">
        <w:t xml:space="preserve"> jedoch eine Schwarzstartfähigkeit des Inselnetzes ermöglichen bzw. unterstützen</w:t>
      </w:r>
      <w:r w:rsidR="003F3E44">
        <w:t xml:space="preserve">. </w:t>
      </w:r>
    </w:p>
    <w:p w:rsidR="002946B8" w:rsidRDefault="0012496D" w:rsidP="00227125">
      <w:r>
        <w:t xml:space="preserve">Die </w:t>
      </w:r>
      <w:r w:rsidR="002A597B">
        <w:t xml:space="preserve">für die Messreihe ermittelte </w:t>
      </w:r>
      <w:r w:rsidR="00811656">
        <w:t xml:space="preserve">Leistung des </w:t>
      </w:r>
      <w:r w:rsidR="00E803D3">
        <w:rPr>
          <w:lang w:val="de-AT"/>
        </w:rPr>
        <w:t>Batteriespeicher</w:t>
      </w:r>
      <w:r w:rsidR="00E803D3">
        <w:t xml:space="preserve">s </w:t>
      </w:r>
      <w:r w:rsidR="00811656">
        <w:t xml:space="preserve">wesentlich größer ist als die Nennleistung des größten Verbrauchers im Microgrid. </w:t>
      </w:r>
      <w:r w:rsidR="002A597B">
        <w:t xml:space="preserve">Die Gleichzeitigkeit von Verbrauchern bzw. -gruppen ist bei der Auslegung des </w:t>
      </w:r>
      <w:r w:rsidR="00E803D3">
        <w:rPr>
          <w:lang w:val="de-AT"/>
        </w:rPr>
        <w:t>Batteriespeicher</w:t>
      </w:r>
      <w:r w:rsidR="00E803D3">
        <w:t xml:space="preserve">s </w:t>
      </w:r>
      <w:r w:rsidR="002A597B">
        <w:t xml:space="preserve">daher ebenfalls von Bedeutung. </w:t>
      </w:r>
      <w:r w:rsidR="00811656">
        <w:t xml:space="preserve">Im theoretisch günstigsten Fall kann die Leistung des </w:t>
      </w:r>
      <w:r w:rsidR="00E803D3">
        <w:rPr>
          <w:lang w:val="de-AT"/>
        </w:rPr>
        <w:t>Batteriespeicher</w:t>
      </w:r>
      <w:r w:rsidR="00E803D3">
        <w:t xml:space="preserve">s </w:t>
      </w:r>
      <w:r w:rsidR="00811656">
        <w:t>auf etwa die Nennleistung des größten Verbrauchers reduziert werden. Dies erfordert jedoch, dass Schalthandlungen/Industrieprozesse optimal koordiniert werden müssten (z.B</w:t>
      </w:r>
      <w:r w:rsidR="00F14704">
        <w:t>.</w:t>
      </w:r>
      <w:r w:rsidR="00811656">
        <w:t xml:space="preserve"> Kommunikationstechnik/Leitsystem)</w:t>
      </w:r>
      <w:r w:rsidR="00F14704">
        <w:t xml:space="preserve">. Mit diesen Maßnahmen </w:t>
      </w:r>
      <w:r w:rsidR="0037022F">
        <w:t xml:space="preserve">könne </w:t>
      </w:r>
      <w:r w:rsidR="00F14704">
        <w:t xml:space="preserve">die </w:t>
      </w:r>
      <w:r w:rsidR="0037022F">
        <w:t xml:space="preserve">Leistungsanforderungen an den </w:t>
      </w:r>
      <w:r w:rsidR="00E803D3">
        <w:rPr>
          <w:lang w:val="de-AT"/>
        </w:rPr>
        <w:t>Batteriespeicher</w:t>
      </w:r>
      <w:r w:rsidR="00E803D3">
        <w:t xml:space="preserve"> </w:t>
      </w:r>
      <w:r w:rsidR="00FD5664">
        <w:t>optimiert werden.</w:t>
      </w:r>
    </w:p>
    <w:p w:rsidR="00390D22" w:rsidRDefault="00390D22" w:rsidP="00227125">
      <w:r>
        <w:t xml:space="preserve">Da alle betrachteten Speichertechnologien über Wechselrichter an das Inselnetz angeschlossen werden, ergeben sich zusätzliche Möglichkeiten zur Blindleistungskompensation. Es ist vorgesehen, dass der </w:t>
      </w:r>
      <w:r w:rsidR="00E803D3">
        <w:rPr>
          <w:lang w:val="de-AT"/>
        </w:rPr>
        <w:t>Batteriespeicher</w:t>
      </w:r>
      <w:r w:rsidR="00E803D3">
        <w:t xml:space="preserve"> </w:t>
      </w:r>
      <w:r>
        <w:t>räumlich in der Nähe der Verbraucher installiert wird,</w:t>
      </w:r>
      <w:r w:rsidR="00D60E50">
        <w:t xml:space="preserve"> wodurch ein </w:t>
      </w:r>
      <w:r>
        <w:t xml:space="preserve">Freiheitsgrad zur Minimierung der Gesamtverluste </w:t>
      </w:r>
      <w:r w:rsidR="0037022F">
        <w:t xml:space="preserve">prinzipiell </w:t>
      </w:r>
      <w:r w:rsidR="00940A7D">
        <w:t>zur Verfügung steht</w:t>
      </w:r>
      <w:r>
        <w:t xml:space="preserve">. </w:t>
      </w:r>
    </w:p>
    <w:p w:rsidR="005E4D4F" w:rsidRPr="005E4D4F" w:rsidRDefault="005E4D4F" w:rsidP="00A156E4">
      <w:pPr>
        <w:pStyle w:val="Ueberschrift"/>
      </w:pPr>
      <w:bookmarkStart w:id="2" w:name="_Toc26086066"/>
      <w:bookmarkStart w:id="3" w:name="_Toc68418491"/>
      <w:r w:rsidRPr="005E4D4F">
        <w:t>Literatur</w:t>
      </w:r>
      <w:bookmarkEnd w:id="2"/>
      <w:bookmarkEnd w:id="3"/>
    </w:p>
    <w:p w:rsidR="008B1DF4" w:rsidRPr="008B1DF4" w:rsidRDefault="008B1DF4" w:rsidP="008B1DF4">
      <w:pPr>
        <w:pStyle w:val="Literaturverzeichnis"/>
        <w:rPr>
          <w:rFonts w:cs="Arial"/>
          <w:lang w:val="en-US"/>
        </w:rPr>
      </w:pPr>
      <w:r>
        <w:fldChar w:fldCharType="begin"/>
      </w:r>
      <w:r w:rsidRPr="008B1DF4">
        <w:rPr>
          <w:lang w:val="en-US"/>
        </w:rPr>
        <w:instrText xml:space="preserve"> ADDIN ZOTERO_BIBL {"uncited":[],"omitted":[],"custom":[]} CSL_BIBLIOGRAPHY </w:instrText>
      </w:r>
      <w:r>
        <w:fldChar w:fldCharType="separate"/>
      </w:r>
      <w:r w:rsidRPr="008B1DF4">
        <w:rPr>
          <w:rFonts w:cs="Arial"/>
          <w:lang w:val="en-US"/>
        </w:rPr>
        <w:t>[1]</w:t>
      </w:r>
      <w:r w:rsidRPr="008B1DF4">
        <w:rPr>
          <w:rFonts w:cs="Arial"/>
          <w:lang w:val="en-US"/>
        </w:rPr>
        <w:tab/>
        <w:t xml:space="preserve">A. Hirsch, Y. Parag, and J. Guerrero, ‘Microgrids: A review of technologies, key drivers, and outstanding issues’, </w:t>
      </w:r>
      <w:r w:rsidRPr="008B1DF4">
        <w:rPr>
          <w:rFonts w:cs="Arial"/>
          <w:i/>
          <w:iCs/>
          <w:lang w:val="en-US"/>
        </w:rPr>
        <w:t>Renewable and Sustainable Energy Reviews</w:t>
      </w:r>
      <w:r w:rsidRPr="008B1DF4">
        <w:rPr>
          <w:rFonts w:cs="Arial"/>
          <w:lang w:val="en-US"/>
        </w:rPr>
        <w:t>, vol. 90, pp. 402–411, Jul. 2018.</w:t>
      </w:r>
    </w:p>
    <w:p w:rsidR="008B1DF4" w:rsidRPr="008B1DF4" w:rsidRDefault="008B1DF4" w:rsidP="008B1DF4">
      <w:pPr>
        <w:pStyle w:val="Literaturverzeichnis"/>
        <w:rPr>
          <w:rFonts w:cs="Arial"/>
          <w:lang w:val="en-US"/>
        </w:rPr>
      </w:pPr>
      <w:r w:rsidRPr="008B1DF4">
        <w:rPr>
          <w:rFonts w:cs="Arial"/>
          <w:lang w:val="en-US"/>
        </w:rPr>
        <w:t>[2]</w:t>
      </w:r>
      <w:r w:rsidRPr="008B1DF4">
        <w:rPr>
          <w:rFonts w:cs="Arial"/>
          <w:lang w:val="en-US"/>
        </w:rPr>
        <w:tab/>
        <w:t xml:space="preserve">A. Malhotra, B. Battke, M. Beuse, A. Stephan, and T. Schmidt, ‘Use cases for stationary battery technologies: A review of the literature and existing projects’, </w:t>
      </w:r>
      <w:r w:rsidRPr="008B1DF4">
        <w:rPr>
          <w:rFonts w:cs="Arial"/>
          <w:i/>
          <w:iCs/>
          <w:lang w:val="en-US"/>
        </w:rPr>
        <w:t>Renewable and Sustainable Energy Reviews</w:t>
      </w:r>
      <w:r w:rsidRPr="008B1DF4">
        <w:rPr>
          <w:rFonts w:cs="Arial"/>
          <w:lang w:val="en-US"/>
        </w:rPr>
        <w:t>, vol. 56, pp. 705–721, Apr. 2016.</w:t>
      </w:r>
    </w:p>
    <w:p w:rsidR="008B1DF4" w:rsidRPr="008B1DF4" w:rsidRDefault="008B1DF4" w:rsidP="008B1DF4">
      <w:pPr>
        <w:pStyle w:val="Literaturverzeichnis"/>
        <w:rPr>
          <w:rFonts w:cs="Arial"/>
          <w:lang w:val="en-US"/>
        </w:rPr>
      </w:pPr>
      <w:r w:rsidRPr="008B1DF4">
        <w:rPr>
          <w:rFonts w:cs="Arial"/>
          <w:lang w:val="en-US"/>
        </w:rPr>
        <w:t>[3]</w:t>
      </w:r>
      <w:r w:rsidRPr="008B1DF4">
        <w:rPr>
          <w:rFonts w:cs="Arial"/>
          <w:lang w:val="en-US"/>
        </w:rPr>
        <w:tab/>
        <w:t xml:space="preserve">J. Moore, B. Shabani, J. Moore, and B. Shabani, ‘A Critical Study of Stationary Energy Storage Policies in Australia in an International Context: The Role of Hydrogen and Battery Technologies’, </w:t>
      </w:r>
      <w:r w:rsidRPr="008B1DF4">
        <w:rPr>
          <w:rFonts w:cs="Arial"/>
          <w:i/>
          <w:iCs/>
          <w:lang w:val="en-US"/>
        </w:rPr>
        <w:t>Energies</w:t>
      </w:r>
      <w:r w:rsidRPr="008B1DF4">
        <w:rPr>
          <w:rFonts w:cs="Arial"/>
          <w:lang w:val="en-US"/>
        </w:rPr>
        <w:t>, vol. 9, no. 9, p. 674, Aug. 2016.</w:t>
      </w:r>
    </w:p>
    <w:p w:rsidR="008B1DF4" w:rsidRPr="008B1DF4" w:rsidRDefault="008B1DF4" w:rsidP="008B1DF4">
      <w:pPr>
        <w:pStyle w:val="Literaturverzeichnis"/>
        <w:rPr>
          <w:rFonts w:cs="Arial"/>
          <w:lang w:val="en-US"/>
        </w:rPr>
      </w:pPr>
      <w:r w:rsidRPr="008B1DF4">
        <w:rPr>
          <w:rFonts w:cs="Arial"/>
          <w:lang w:val="en-US"/>
        </w:rPr>
        <w:t>[4]</w:t>
      </w:r>
      <w:r w:rsidRPr="008B1DF4">
        <w:rPr>
          <w:rFonts w:cs="Arial"/>
          <w:lang w:val="en-US"/>
        </w:rPr>
        <w:tab/>
        <w:t xml:space="preserve">K. Yano, S. Hayashi, T. Kumamoto, T. Shibata, K. Yamanishi, and K. Fujikawa, ‘Development and Demonstration of Redox Flow Battery System’, </w:t>
      </w:r>
      <w:r w:rsidRPr="008B1DF4">
        <w:rPr>
          <w:rFonts w:cs="Arial"/>
          <w:i/>
          <w:iCs/>
          <w:lang w:val="en-US"/>
        </w:rPr>
        <w:t>SEI Technical Review - Number 84</w:t>
      </w:r>
      <w:r w:rsidRPr="008B1DF4">
        <w:rPr>
          <w:rFonts w:cs="Arial"/>
          <w:lang w:val="en-US"/>
        </w:rPr>
        <w:t>, p. 7, 2017.</w:t>
      </w:r>
    </w:p>
    <w:p w:rsidR="008B1DF4" w:rsidRPr="008B1DF4" w:rsidRDefault="008B1DF4" w:rsidP="008B1DF4">
      <w:pPr>
        <w:pStyle w:val="Literaturverzeichnis"/>
        <w:rPr>
          <w:rFonts w:cs="Arial"/>
          <w:lang w:val="en-US"/>
        </w:rPr>
      </w:pPr>
      <w:r w:rsidRPr="008B1DF4">
        <w:rPr>
          <w:rFonts w:cs="Arial"/>
          <w:lang w:val="en-US"/>
        </w:rPr>
        <w:t>[5]</w:t>
      </w:r>
      <w:r w:rsidRPr="008B1DF4">
        <w:rPr>
          <w:rFonts w:cs="Arial"/>
          <w:lang w:val="en-US"/>
        </w:rPr>
        <w:tab/>
        <w:t xml:space="preserve">A. A. Akhil </w:t>
      </w:r>
      <w:r w:rsidRPr="008B1DF4">
        <w:rPr>
          <w:rFonts w:cs="Arial"/>
          <w:i/>
          <w:iCs/>
          <w:lang w:val="en-US"/>
        </w:rPr>
        <w:t>et al.</w:t>
      </w:r>
      <w:r w:rsidRPr="008B1DF4">
        <w:rPr>
          <w:rFonts w:cs="Arial"/>
          <w:lang w:val="en-US"/>
        </w:rPr>
        <w:t>, ‘DOE/EPRI Electricity Storage Handbook in Collaboration with NRECA’, SAND2015-1002, 1170618, Feb. 2015.</w:t>
      </w:r>
    </w:p>
    <w:p w:rsidR="008B1DF4" w:rsidRPr="008B1DF4" w:rsidRDefault="008B1DF4" w:rsidP="008B1DF4">
      <w:pPr>
        <w:pStyle w:val="Literaturverzeichnis"/>
        <w:rPr>
          <w:rFonts w:cs="Arial"/>
          <w:lang w:val="en-US"/>
        </w:rPr>
      </w:pPr>
      <w:r w:rsidRPr="008B1DF4">
        <w:rPr>
          <w:rFonts w:cs="Arial"/>
          <w:lang w:val="en-US"/>
        </w:rPr>
        <w:t>[6]</w:t>
      </w:r>
      <w:r w:rsidRPr="008B1DF4">
        <w:rPr>
          <w:rFonts w:cs="Arial"/>
          <w:lang w:val="en-US"/>
        </w:rPr>
        <w:tab/>
        <w:t>B. Zakeri and S. Syri, ‘Electrical energy storage systems A comparative life cycle cost analysis (2015)’, Aug. 2015.</w:t>
      </w:r>
    </w:p>
    <w:p w:rsidR="008B1DF4" w:rsidRDefault="008B1DF4" w:rsidP="00227125">
      <w:pPr>
        <w:pStyle w:val="Literatur"/>
      </w:pPr>
      <w:r>
        <w:fldChar w:fldCharType="end"/>
      </w:r>
    </w:p>
    <w:sectPr w:rsidR="008B1DF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545" w:rsidRDefault="00882545">
      <w:r>
        <w:separator/>
      </w:r>
    </w:p>
  </w:endnote>
  <w:endnote w:type="continuationSeparator" w:id="0">
    <w:p w:rsidR="00882545" w:rsidRDefault="008825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545" w:rsidRDefault="00882545">
      <w:r>
        <w:separator/>
      </w:r>
    </w:p>
  </w:footnote>
  <w:footnote w:type="continuationSeparator" w:id="0">
    <w:p w:rsidR="00882545" w:rsidRDefault="00882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071F"/>
    <w:multiLevelType w:val="multilevel"/>
    <w:tmpl w:val="0978BA90"/>
    <w:numStyleLink w:val="Aufzhlung"/>
  </w:abstractNum>
  <w:abstractNum w:abstractNumId="1">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5D75967"/>
    <w:multiLevelType w:val="multilevel"/>
    <w:tmpl w:val="0978BA90"/>
    <w:numStyleLink w:val="Aufzhlung"/>
  </w:abstractNum>
  <w:abstractNum w:abstractNumId="3">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5E4D4F"/>
    <w:rsid w:val="00002705"/>
    <w:rsid w:val="00010E92"/>
    <w:rsid w:val="00016703"/>
    <w:rsid w:val="000668A9"/>
    <w:rsid w:val="0012496D"/>
    <w:rsid w:val="002014D3"/>
    <w:rsid w:val="00214025"/>
    <w:rsid w:val="00227125"/>
    <w:rsid w:val="00262FD5"/>
    <w:rsid w:val="002946B8"/>
    <w:rsid w:val="002A597B"/>
    <w:rsid w:val="00350F98"/>
    <w:rsid w:val="0037022F"/>
    <w:rsid w:val="003748B9"/>
    <w:rsid w:val="00390D22"/>
    <w:rsid w:val="003B676F"/>
    <w:rsid w:val="003C28FE"/>
    <w:rsid w:val="003F3E44"/>
    <w:rsid w:val="0044232D"/>
    <w:rsid w:val="0045792D"/>
    <w:rsid w:val="00483B87"/>
    <w:rsid w:val="005846D4"/>
    <w:rsid w:val="005B1ADB"/>
    <w:rsid w:val="005C5395"/>
    <w:rsid w:val="005E4D4F"/>
    <w:rsid w:val="00607437"/>
    <w:rsid w:val="00613086"/>
    <w:rsid w:val="006175F7"/>
    <w:rsid w:val="00635CF6"/>
    <w:rsid w:val="007356C5"/>
    <w:rsid w:val="007378C8"/>
    <w:rsid w:val="00741EC0"/>
    <w:rsid w:val="00803917"/>
    <w:rsid w:val="00811656"/>
    <w:rsid w:val="008630ED"/>
    <w:rsid w:val="00882545"/>
    <w:rsid w:val="008B1DF4"/>
    <w:rsid w:val="00940A7D"/>
    <w:rsid w:val="009834A0"/>
    <w:rsid w:val="00A07737"/>
    <w:rsid w:val="00A156E4"/>
    <w:rsid w:val="00A3038D"/>
    <w:rsid w:val="00A6148D"/>
    <w:rsid w:val="00AA56CF"/>
    <w:rsid w:val="00AD6192"/>
    <w:rsid w:val="00AF0B9B"/>
    <w:rsid w:val="00AF5FB1"/>
    <w:rsid w:val="00BB593A"/>
    <w:rsid w:val="00BF05FA"/>
    <w:rsid w:val="00C70B12"/>
    <w:rsid w:val="00CA7773"/>
    <w:rsid w:val="00CE1A70"/>
    <w:rsid w:val="00D0386C"/>
    <w:rsid w:val="00D53E86"/>
    <w:rsid w:val="00D60E50"/>
    <w:rsid w:val="00D736F8"/>
    <w:rsid w:val="00D9569A"/>
    <w:rsid w:val="00E520E6"/>
    <w:rsid w:val="00E803D3"/>
    <w:rsid w:val="00F14704"/>
    <w:rsid w:val="00FB69AE"/>
    <w:rsid w:val="00FD5664"/>
    <w:rsid w:val="00FD5D5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25"/>
    <w:pPr>
      <w:jc w:val="both"/>
    </w:pPr>
    <w:rPr>
      <w:rFonts w:ascii="Arial" w:hAnsi="Arial"/>
      <w:szCs w:val="24"/>
      <w:lang w:eastAsia="ko-KR"/>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table" w:styleId="Tabellengitternetz">
    <w:name w:val="Table Grid"/>
    <w:basedOn w:val="NormaleTabelle"/>
    <w:rsid w:val="0012496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styleId="Beschriftung">
    <w:name w:val="caption"/>
    <w:basedOn w:val="Standard"/>
    <w:next w:val="Standard"/>
    <w:uiPriority w:val="35"/>
    <w:unhideWhenUsed/>
    <w:qFormat/>
    <w:rsid w:val="009834A0"/>
    <w:rPr>
      <w:b/>
      <w:bCs/>
      <w:szCs w:val="20"/>
    </w:rPr>
  </w:style>
  <w:style w:type="paragraph" w:styleId="Literaturverzeichnis">
    <w:name w:val="Bibliography"/>
    <w:basedOn w:val="Standard"/>
    <w:next w:val="Standard"/>
    <w:uiPriority w:val="37"/>
    <w:unhideWhenUsed/>
    <w:rsid w:val="008B1DF4"/>
    <w:pPr>
      <w:tabs>
        <w:tab w:val="left" w:pos="384"/>
      </w:tabs>
      <w:ind w:left="384" w:hanging="384"/>
    </w:pPr>
  </w:style>
  <w:style w:type="paragraph" w:customStyle="1" w:styleId="Literatur">
    <w:name w:val="Literatur"/>
    <w:basedOn w:val="Standard"/>
    <w:rsid w:val="005E4D4F"/>
    <w:pPr>
      <w:ind w:left="284" w:hanging="284"/>
    </w:pPr>
    <w:rPr>
      <w:rFonts w:cs="Arial"/>
      <w:szCs w:val="20"/>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B277-FD2E-4D2C-A9D2-8CE26381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2103</Words>
  <Characters>13256</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TU-Wien Campuslizenz</Company>
  <LinksUpToDate>false</LinksUpToDate>
  <CharactersWithSpaces>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Gerald</dc:creator>
  <cp:lastModifiedBy>Benutzer</cp:lastModifiedBy>
  <cp:revision>2</cp:revision>
  <dcterms:created xsi:type="dcterms:W3CDTF">2018-11-07T19:27:00Z</dcterms:created>
  <dcterms:modified xsi:type="dcterms:W3CDTF">2018-11-07T19:27:00Z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id="bS3xAn1q"/&gt;&lt;style id="http://www.zotero.org/styles/ieee" locale="en-GB" hasBibliography="1" bibliographyStyleHasBeenSet="1"/&gt;&lt;prefs&gt;&lt;pref name="fieldType" value="Field"/&gt;&lt;/prefs&gt;&lt;/data&gt;</vt:lpwstr>
  </property>
</Properties>
</file>