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5904" w14:textId="4F8E2EC4" w:rsidR="005937FB" w:rsidRPr="00D13CC8" w:rsidRDefault="003B6B5D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</w:pPr>
      <w:r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 xml:space="preserve">Generating energy carrier specific </w:t>
      </w:r>
      <w:r w:rsidR="00D859FB"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 xml:space="preserve">space </w:t>
      </w:r>
      <w:r w:rsidR="005937FB" w:rsidRPr="00D13CC8"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>heating and hot water load profiles</w:t>
      </w:r>
      <w:r w:rsidR="0056350B"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 xml:space="preserve"> </w:t>
      </w:r>
      <w:r w:rsidR="005937FB" w:rsidRPr="00D13CC8"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>at NUTS-3</w:t>
      </w:r>
      <w:r w:rsidR="00C3118F" w:rsidRPr="00D13CC8"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>-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en-GB" w:eastAsia="en-US"/>
        </w:rPr>
        <w:t>level in Europe</w:t>
      </w:r>
    </w:p>
    <w:p w14:paraId="1A7AB255" w14:textId="582BA0FB" w:rsidR="00360160" w:rsidRPr="00D13CC8" w:rsidRDefault="005937FB" w:rsidP="00A156E4">
      <w:pPr>
        <w:pStyle w:val="AutorenOrganisation"/>
        <w:rPr>
          <w:lang w:val="en-GB"/>
        </w:rPr>
      </w:pPr>
      <w:r w:rsidRPr="00D13CC8">
        <w:rPr>
          <w:lang w:val="en-GB"/>
        </w:rPr>
        <w:t>Electricity</w:t>
      </w:r>
      <w:r w:rsidR="00360160" w:rsidRPr="00D13CC8">
        <w:rPr>
          <w:lang w:val="en-GB"/>
        </w:rPr>
        <w:t xml:space="preserve">, </w:t>
      </w:r>
      <w:r w:rsidRPr="00D13CC8">
        <w:rPr>
          <w:lang w:val="en-GB"/>
        </w:rPr>
        <w:t>heat generation</w:t>
      </w:r>
      <w:r w:rsidR="00360160" w:rsidRPr="00D13CC8">
        <w:rPr>
          <w:lang w:val="en-GB"/>
        </w:rPr>
        <w:t xml:space="preserve"> </w:t>
      </w:r>
      <w:r w:rsidRPr="00D13CC8">
        <w:rPr>
          <w:lang w:val="en-GB"/>
        </w:rPr>
        <w:t>&amp; storage</w:t>
      </w:r>
    </w:p>
    <w:p w14:paraId="70182C7C" w14:textId="77777777" w:rsidR="005E4D4F" w:rsidRPr="00D13CC8" w:rsidRDefault="00982986" w:rsidP="00A156E4">
      <w:pPr>
        <w:pStyle w:val="AutorenOrganisation"/>
        <w:rPr>
          <w:lang w:val="en-GB"/>
        </w:rPr>
      </w:pPr>
      <w:r w:rsidRPr="00D13CC8">
        <w:rPr>
          <w:lang w:val="en-GB"/>
        </w:rPr>
        <w:t xml:space="preserve">Christoph </w:t>
      </w:r>
      <w:proofErr w:type="spellStart"/>
      <w:r w:rsidRPr="00D13CC8">
        <w:rPr>
          <w:lang w:val="en-GB"/>
        </w:rPr>
        <w:t>Pellinger</w:t>
      </w:r>
      <w:proofErr w:type="spellEnd"/>
      <w:r w:rsidR="005E4D4F" w:rsidRPr="00D13CC8">
        <w:rPr>
          <w:vertAlign w:val="superscript"/>
          <w:lang w:val="en-GB"/>
        </w:rPr>
        <w:footnoteReference w:id="1"/>
      </w:r>
      <w:r w:rsidR="00A156E4" w:rsidRPr="00D13CC8">
        <w:rPr>
          <w:vertAlign w:val="superscript"/>
          <w:lang w:val="en-GB"/>
        </w:rPr>
        <w:t>(1)</w:t>
      </w:r>
      <w:r w:rsidR="005E4D4F" w:rsidRPr="00D13CC8">
        <w:rPr>
          <w:lang w:val="en-GB"/>
        </w:rPr>
        <w:t xml:space="preserve">, </w:t>
      </w:r>
      <w:r w:rsidRPr="00D13CC8">
        <w:rPr>
          <w:lang w:val="en-GB"/>
        </w:rPr>
        <w:t xml:space="preserve">Claudia </w:t>
      </w:r>
      <w:proofErr w:type="spellStart"/>
      <w:r w:rsidRPr="00D13CC8">
        <w:rPr>
          <w:lang w:val="en-GB"/>
        </w:rPr>
        <w:t>Konetschny</w:t>
      </w:r>
      <w:proofErr w:type="spellEnd"/>
      <w:r w:rsidR="00A156E4" w:rsidRPr="00D13CC8">
        <w:rPr>
          <w:vertAlign w:val="superscript"/>
          <w:lang w:val="en-GB"/>
        </w:rPr>
        <w:t>(</w:t>
      </w:r>
      <w:r w:rsidRPr="00D13CC8">
        <w:rPr>
          <w:vertAlign w:val="superscript"/>
          <w:lang w:val="en-GB"/>
        </w:rPr>
        <w:t>1</w:t>
      </w:r>
      <w:r w:rsidR="00A156E4" w:rsidRPr="00D13CC8">
        <w:rPr>
          <w:vertAlign w:val="superscript"/>
          <w:lang w:val="en-GB"/>
        </w:rPr>
        <w:t>)</w:t>
      </w:r>
      <w:r w:rsidRPr="00D13CC8">
        <w:rPr>
          <w:lang w:val="en-GB"/>
        </w:rPr>
        <w:t xml:space="preserve">, Jonas </w:t>
      </w:r>
      <w:proofErr w:type="spellStart"/>
      <w:r w:rsidRPr="00D13CC8">
        <w:rPr>
          <w:lang w:val="en-GB"/>
        </w:rPr>
        <w:t>Sylla</w:t>
      </w:r>
      <w:proofErr w:type="spellEnd"/>
      <w:r w:rsidRPr="00D13CC8">
        <w:rPr>
          <w:vertAlign w:val="superscript"/>
          <w:lang w:val="en-GB"/>
        </w:rPr>
        <w:t>(1)</w:t>
      </w:r>
    </w:p>
    <w:p w14:paraId="6A6F876E" w14:textId="77777777" w:rsidR="005E4D4F" w:rsidRPr="009C2760" w:rsidRDefault="00A156E4" w:rsidP="005E4D4F">
      <w:pPr>
        <w:pStyle w:val="AutorenOrganisation"/>
        <w:rPr>
          <w:lang w:val="de-DE"/>
        </w:rPr>
      </w:pPr>
      <w:r w:rsidRPr="009C2760">
        <w:rPr>
          <w:vertAlign w:val="superscript"/>
          <w:lang w:val="de-DE"/>
        </w:rPr>
        <w:t>(</w:t>
      </w:r>
      <w:r w:rsidR="00010E92" w:rsidRPr="009C2760">
        <w:rPr>
          <w:vertAlign w:val="superscript"/>
          <w:lang w:val="de-DE"/>
        </w:rPr>
        <w:t>1</w:t>
      </w:r>
      <w:r w:rsidRPr="009C2760">
        <w:rPr>
          <w:vertAlign w:val="superscript"/>
          <w:lang w:val="de-DE"/>
        </w:rPr>
        <w:t>)</w:t>
      </w:r>
      <w:r w:rsidR="00982986" w:rsidRPr="009C2760">
        <w:rPr>
          <w:lang w:val="de-DE"/>
        </w:rPr>
        <w:t>Forschungsstelle für Energiewirtschaft e.V.</w:t>
      </w:r>
    </w:p>
    <w:p w14:paraId="53AB86DD" w14:textId="77777777" w:rsidR="00A07737" w:rsidRPr="009C2760" w:rsidRDefault="00A07737" w:rsidP="00FB69AE"/>
    <w:p w14:paraId="7661A872" w14:textId="5FA4B7B0" w:rsidR="005E4D4F" w:rsidRPr="00D13CC8" w:rsidRDefault="005E4D4F" w:rsidP="005E4D4F">
      <w:pPr>
        <w:pStyle w:val="Ueberschrift"/>
        <w:rPr>
          <w:lang w:val="en-GB"/>
        </w:rPr>
      </w:pPr>
      <w:r w:rsidRPr="00D13CC8">
        <w:rPr>
          <w:lang w:val="en-GB"/>
        </w:rPr>
        <w:t xml:space="preserve">Motivation </w:t>
      </w:r>
      <w:r w:rsidR="00DB3303" w:rsidRPr="00D13CC8">
        <w:rPr>
          <w:lang w:val="en-GB"/>
        </w:rPr>
        <w:t>and key issue</w:t>
      </w:r>
    </w:p>
    <w:p w14:paraId="4524F90E" w14:textId="7B535422" w:rsidR="005937FB" w:rsidRPr="00D13CC8" w:rsidRDefault="005937FB" w:rsidP="00D012FC">
      <w:pPr>
        <w:rPr>
          <w:lang w:val="en-GB"/>
        </w:rPr>
      </w:pPr>
      <w:r w:rsidRPr="00D13CC8">
        <w:rPr>
          <w:lang w:val="en-GB"/>
        </w:rPr>
        <w:t>The electrification of heat</w:t>
      </w:r>
      <w:r w:rsidR="00D13CC8">
        <w:rPr>
          <w:lang w:val="en-GB"/>
        </w:rPr>
        <w:t>ing</w:t>
      </w:r>
      <w:r w:rsidRPr="00D13CC8">
        <w:rPr>
          <w:lang w:val="en-GB"/>
        </w:rPr>
        <w:t xml:space="preserve"> applications </w:t>
      </w:r>
      <w:r w:rsidR="00D13CC8" w:rsidRPr="00D13CC8">
        <w:rPr>
          <w:lang w:val="en-GB"/>
        </w:rPr>
        <w:t>represent</w:t>
      </w:r>
      <w:r w:rsidR="00D13CC8">
        <w:rPr>
          <w:lang w:val="en-GB"/>
        </w:rPr>
        <w:t>s</w:t>
      </w:r>
      <w:r w:rsidR="00D13CC8" w:rsidRPr="00D13CC8">
        <w:rPr>
          <w:lang w:val="en-GB"/>
        </w:rPr>
        <w:t xml:space="preserve"> </w:t>
      </w:r>
      <w:r w:rsidR="00D13CC8">
        <w:rPr>
          <w:lang w:val="en-GB"/>
        </w:rPr>
        <w:t>one</w:t>
      </w:r>
      <w:r w:rsidR="00D13CC8" w:rsidRPr="00D13CC8">
        <w:rPr>
          <w:lang w:val="en-GB"/>
        </w:rPr>
        <w:t xml:space="preserve"> significant component in the</w:t>
      </w:r>
      <w:r w:rsidRPr="00D13CC8">
        <w:rPr>
          <w:lang w:val="en-GB"/>
        </w:rPr>
        <w:t xml:space="preserve"> decarb</w:t>
      </w:r>
      <w:r w:rsidR="00D13CC8" w:rsidRPr="00D13CC8">
        <w:rPr>
          <w:lang w:val="en-GB"/>
        </w:rPr>
        <w:t>onisation of</w:t>
      </w:r>
      <w:r w:rsidRPr="00D13CC8">
        <w:rPr>
          <w:lang w:val="en-GB"/>
        </w:rPr>
        <w:t xml:space="preserve"> private households</w:t>
      </w:r>
      <w:r w:rsidR="001E1801">
        <w:rPr>
          <w:lang w:val="en-GB"/>
        </w:rPr>
        <w:t xml:space="preserve"> [1]</w:t>
      </w:r>
      <w:r w:rsidRPr="00D13CC8">
        <w:rPr>
          <w:lang w:val="en-GB"/>
        </w:rPr>
        <w:t xml:space="preserve">. The </w:t>
      </w:r>
      <w:r w:rsidR="00D13CC8" w:rsidRPr="00D13CC8">
        <w:rPr>
          <w:lang w:val="en-GB"/>
        </w:rPr>
        <w:t xml:space="preserve">spatial </w:t>
      </w:r>
      <w:r w:rsidRPr="00D13CC8">
        <w:rPr>
          <w:lang w:val="en-GB"/>
        </w:rPr>
        <w:t xml:space="preserve">distribution of </w:t>
      </w:r>
      <w:r w:rsidR="00DD5D88">
        <w:rPr>
          <w:lang w:val="en-GB"/>
        </w:rPr>
        <w:t xml:space="preserve">diverse </w:t>
      </w:r>
      <w:r w:rsidRPr="00D13CC8">
        <w:rPr>
          <w:lang w:val="en-GB"/>
        </w:rPr>
        <w:t xml:space="preserve">energy </w:t>
      </w:r>
      <w:r w:rsidR="00D13CC8" w:rsidRPr="00D13CC8">
        <w:rPr>
          <w:lang w:val="en-GB"/>
        </w:rPr>
        <w:t>carrier</w:t>
      </w:r>
      <w:r w:rsidR="00D13CC8">
        <w:rPr>
          <w:lang w:val="en-GB"/>
        </w:rPr>
        <w:t>s</w:t>
      </w:r>
      <w:r w:rsidRPr="00D13CC8">
        <w:rPr>
          <w:lang w:val="en-GB"/>
        </w:rPr>
        <w:t xml:space="preserve"> used for heating applications within a country</w:t>
      </w:r>
      <w:r w:rsidR="00D859FB">
        <w:rPr>
          <w:lang w:val="en-GB"/>
        </w:rPr>
        <w:t xml:space="preserve"> (</w:t>
      </w:r>
      <w:r w:rsidRPr="00D13CC8">
        <w:rPr>
          <w:lang w:val="en-GB"/>
        </w:rPr>
        <w:t>heating structure</w:t>
      </w:r>
      <w:r w:rsidR="00D859FB">
        <w:rPr>
          <w:lang w:val="en-GB"/>
        </w:rPr>
        <w:t>)</w:t>
      </w:r>
      <w:r w:rsidR="00370A75">
        <w:rPr>
          <w:lang w:val="en-GB"/>
        </w:rPr>
        <w:t xml:space="preserve"> </w:t>
      </w:r>
      <w:r w:rsidRPr="00D13CC8">
        <w:rPr>
          <w:lang w:val="en-GB"/>
        </w:rPr>
        <w:t xml:space="preserve">is </w:t>
      </w:r>
      <w:r w:rsidR="00ED4A77">
        <w:rPr>
          <w:lang w:val="en-GB"/>
        </w:rPr>
        <w:t xml:space="preserve">usually </w:t>
      </w:r>
      <w:r w:rsidRPr="00D13CC8">
        <w:rPr>
          <w:lang w:val="en-GB"/>
        </w:rPr>
        <w:t xml:space="preserve">not homogeneous. </w:t>
      </w:r>
      <w:r w:rsidR="00370A75">
        <w:rPr>
          <w:lang w:val="en-GB"/>
        </w:rPr>
        <w:t xml:space="preserve">Population density and climatic conditions are influencing </w:t>
      </w:r>
      <w:r w:rsidR="00D859FB">
        <w:rPr>
          <w:lang w:val="en-GB"/>
        </w:rPr>
        <w:t>factors</w:t>
      </w:r>
      <w:r w:rsidR="00370A75">
        <w:rPr>
          <w:lang w:val="en-GB"/>
        </w:rPr>
        <w:t xml:space="preserve"> </w:t>
      </w:r>
      <w:r w:rsidR="006D39E9">
        <w:rPr>
          <w:lang w:val="en-GB"/>
        </w:rPr>
        <w:t>determin</w:t>
      </w:r>
      <w:r w:rsidR="00D859FB">
        <w:rPr>
          <w:lang w:val="en-GB"/>
        </w:rPr>
        <w:t>ing</w:t>
      </w:r>
      <w:r w:rsidR="006D39E9">
        <w:rPr>
          <w:lang w:val="en-GB"/>
        </w:rPr>
        <w:t xml:space="preserve"> the type of energy carrier and the used heating system</w:t>
      </w:r>
      <w:r w:rsidR="00ED4A77">
        <w:rPr>
          <w:lang w:val="en-GB"/>
        </w:rPr>
        <w:t xml:space="preserve"> in a region</w:t>
      </w:r>
      <w:r w:rsidR="006D39E9">
        <w:rPr>
          <w:lang w:val="en-GB"/>
        </w:rPr>
        <w:t xml:space="preserve">. </w:t>
      </w:r>
      <w:r w:rsidR="00A53786">
        <w:rPr>
          <w:lang w:val="en-GB"/>
        </w:rPr>
        <w:t>The</w:t>
      </w:r>
      <w:r w:rsidRPr="00D13CC8">
        <w:rPr>
          <w:lang w:val="en-GB"/>
        </w:rPr>
        <w:t xml:space="preserve"> selective substitution </w:t>
      </w:r>
      <w:r w:rsidR="00D859FB">
        <w:rPr>
          <w:lang w:val="en-GB"/>
        </w:rPr>
        <w:t xml:space="preserve">of fossil driven heating systems by </w:t>
      </w:r>
      <w:r w:rsidRPr="00D13CC8">
        <w:rPr>
          <w:lang w:val="en-GB"/>
        </w:rPr>
        <w:t>electrical</w:t>
      </w:r>
      <w:r w:rsidR="00D859FB">
        <w:rPr>
          <w:lang w:val="en-GB"/>
        </w:rPr>
        <w:t>ly driven ones</w:t>
      </w:r>
      <w:r w:rsidRPr="00D13CC8">
        <w:rPr>
          <w:lang w:val="en-GB"/>
        </w:rPr>
        <w:t xml:space="preserve"> </w:t>
      </w:r>
      <w:r w:rsidR="00A53786">
        <w:rPr>
          <w:lang w:val="en-GB"/>
        </w:rPr>
        <w:t xml:space="preserve">induces therefore </w:t>
      </w:r>
      <w:r w:rsidR="006D39E9">
        <w:rPr>
          <w:lang w:val="en-GB"/>
        </w:rPr>
        <w:t xml:space="preserve">spatially varying </w:t>
      </w:r>
      <w:r w:rsidR="00A53786">
        <w:rPr>
          <w:lang w:val="en-GB"/>
        </w:rPr>
        <w:t xml:space="preserve">changes </w:t>
      </w:r>
      <w:r w:rsidR="00D859FB">
        <w:rPr>
          <w:lang w:val="en-GB"/>
        </w:rPr>
        <w:t>in</w:t>
      </w:r>
      <w:r w:rsidR="00A53786">
        <w:rPr>
          <w:lang w:val="en-GB"/>
        </w:rPr>
        <w:t xml:space="preserve"> the electricity grid</w:t>
      </w:r>
      <w:r w:rsidR="006D39E9">
        <w:rPr>
          <w:lang w:val="en-GB"/>
        </w:rPr>
        <w:t xml:space="preserve">. </w:t>
      </w:r>
      <w:r w:rsidR="00DD5D88">
        <w:rPr>
          <w:lang w:val="en-GB"/>
        </w:rPr>
        <w:t>Accordingly,</w:t>
      </w:r>
      <w:r w:rsidR="009C2760">
        <w:rPr>
          <w:lang w:val="en-GB"/>
        </w:rPr>
        <w:t xml:space="preserve"> the key motivation for this paper is to develop a methodology to generate </w:t>
      </w:r>
      <w:r w:rsidR="009C2760" w:rsidRPr="00D13CC8">
        <w:rPr>
          <w:lang w:val="en-GB"/>
        </w:rPr>
        <w:t>spatially differentiated load profiles</w:t>
      </w:r>
      <w:r w:rsidR="009C2760">
        <w:rPr>
          <w:lang w:val="en-GB"/>
        </w:rPr>
        <w:t xml:space="preserve"> by using heating structures.</w:t>
      </w:r>
    </w:p>
    <w:p w14:paraId="7D30AAEE" w14:textId="77777777" w:rsidR="005E4D4F" w:rsidRPr="00D13CC8" w:rsidRDefault="005E4D4F" w:rsidP="00227125">
      <w:pPr>
        <w:rPr>
          <w:lang w:val="en-GB"/>
        </w:rPr>
      </w:pPr>
    </w:p>
    <w:p w14:paraId="4F1A5D87" w14:textId="6B3BA0AE" w:rsidR="005E4D4F" w:rsidRPr="00D13CC8" w:rsidRDefault="006D39E9" w:rsidP="005E4D4F">
      <w:pPr>
        <w:pStyle w:val="Ueberschrift"/>
        <w:rPr>
          <w:lang w:val="en-GB"/>
        </w:rPr>
      </w:pPr>
      <w:r w:rsidRPr="00D13CC8">
        <w:rPr>
          <w:lang w:val="en-GB"/>
        </w:rPr>
        <w:t>Methodological</w:t>
      </w:r>
      <w:r w:rsidR="00DB3303" w:rsidRPr="00D13CC8">
        <w:rPr>
          <w:lang w:val="en-GB"/>
        </w:rPr>
        <w:t xml:space="preserve"> approach</w:t>
      </w:r>
    </w:p>
    <w:p w14:paraId="145A9EC0" w14:textId="2BB1D8F2" w:rsidR="005937FB" w:rsidRDefault="005937FB" w:rsidP="003F7544">
      <w:pPr>
        <w:rPr>
          <w:lang w:val="en-GB"/>
        </w:rPr>
      </w:pPr>
      <w:r w:rsidRPr="00D13CC8">
        <w:rPr>
          <w:lang w:val="en-GB"/>
        </w:rPr>
        <w:t xml:space="preserve">A top-down approach is used to model </w:t>
      </w:r>
      <w:r w:rsidR="00ED1BA9">
        <w:rPr>
          <w:lang w:val="en-GB"/>
        </w:rPr>
        <w:t xml:space="preserve">space </w:t>
      </w:r>
      <w:r w:rsidRPr="00D13CC8">
        <w:rPr>
          <w:lang w:val="en-GB"/>
        </w:rPr>
        <w:t xml:space="preserve">heating and hot water load profiles in the spatial resolution </w:t>
      </w:r>
      <w:r w:rsidR="00074EEF">
        <w:rPr>
          <w:lang w:val="en-GB"/>
        </w:rPr>
        <w:t>of</w:t>
      </w:r>
      <w:r w:rsidRPr="00D13CC8">
        <w:rPr>
          <w:lang w:val="en-GB"/>
        </w:rPr>
        <w:t xml:space="preserve"> NUTS</w:t>
      </w:r>
      <w:r w:rsidR="00221388" w:rsidRPr="00D13CC8">
        <w:rPr>
          <w:lang w:val="en-GB"/>
        </w:rPr>
        <w:noBreakHyphen/>
      </w:r>
      <w:r w:rsidRPr="00D13CC8">
        <w:rPr>
          <w:lang w:val="en-GB"/>
        </w:rPr>
        <w:t>3</w:t>
      </w:r>
      <w:r w:rsidR="00ED1BA9" w:rsidRPr="00D13CC8">
        <w:rPr>
          <w:lang w:val="en-GB"/>
        </w:rPr>
        <w:noBreakHyphen/>
      </w:r>
      <w:r w:rsidRPr="00D13CC8">
        <w:rPr>
          <w:lang w:val="en-GB"/>
        </w:rPr>
        <w:t xml:space="preserve">regions. </w:t>
      </w:r>
      <w:r w:rsidR="00A53786">
        <w:rPr>
          <w:lang w:val="en-GB"/>
        </w:rPr>
        <w:t xml:space="preserve">National energy balances are </w:t>
      </w:r>
      <w:r w:rsidR="003302A4">
        <w:rPr>
          <w:lang w:val="en-GB"/>
        </w:rPr>
        <w:t xml:space="preserve">modified </w:t>
      </w:r>
      <w:r w:rsidR="00A53786">
        <w:rPr>
          <w:lang w:val="en-GB"/>
        </w:rPr>
        <w:t>to generate a</w:t>
      </w:r>
      <w:r w:rsidRPr="00D13CC8">
        <w:rPr>
          <w:lang w:val="en-GB"/>
        </w:rPr>
        <w:t>pplication balances</w:t>
      </w:r>
      <w:r w:rsidR="00A26BE8">
        <w:rPr>
          <w:lang w:val="en-GB"/>
        </w:rPr>
        <w:t xml:space="preserve"> in which th</w:t>
      </w:r>
      <w:r w:rsidRPr="00D13CC8">
        <w:rPr>
          <w:lang w:val="en-GB"/>
        </w:rPr>
        <w:t xml:space="preserve">e </w:t>
      </w:r>
      <w:r w:rsidR="001778F4">
        <w:rPr>
          <w:lang w:val="en-GB"/>
        </w:rPr>
        <w:t xml:space="preserve">yearly </w:t>
      </w:r>
      <w:r w:rsidRPr="00D13CC8">
        <w:rPr>
          <w:lang w:val="en-GB"/>
        </w:rPr>
        <w:t xml:space="preserve">final energy </w:t>
      </w:r>
      <w:r w:rsidR="001778F4">
        <w:rPr>
          <w:lang w:val="en-GB"/>
        </w:rPr>
        <w:t xml:space="preserve">consumption is determined. </w:t>
      </w:r>
      <w:r w:rsidR="001E6284">
        <w:rPr>
          <w:lang w:val="en-GB"/>
        </w:rPr>
        <w:t>The part of f</w:t>
      </w:r>
      <w:r w:rsidR="001778F4">
        <w:rPr>
          <w:lang w:val="en-GB"/>
        </w:rPr>
        <w:t xml:space="preserve">inal energy </w:t>
      </w:r>
      <w:r w:rsidR="003302A4">
        <w:rPr>
          <w:lang w:val="en-GB"/>
        </w:rPr>
        <w:t>needed</w:t>
      </w:r>
      <w:r w:rsidR="003302A4" w:rsidRPr="00D13CC8">
        <w:rPr>
          <w:lang w:val="en-GB"/>
        </w:rPr>
        <w:t xml:space="preserve"> </w:t>
      </w:r>
      <w:r w:rsidRPr="00D13CC8">
        <w:rPr>
          <w:lang w:val="en-GB"/>
        </w:rPr>
        <w:t>for space hea</w:t>
      </w:r>
      <w:r w:rsidR="00A26BE8">
        <w:rPr>
          <w:lang w:val="en-GB"/>
        </w:rPr>
        <w:t xml:space="preserve">ting and hot water </w:t>
      </w:r>
      <w:r w:rsidR="00A53786">
        <w:rPr>
          <w:lang w:val="en-GB"/>
        </w:rPr>
        <w:t>split</w:t>
      </w:r>
      <w:r w:rsidR="00F37611">
        <w:rPr>
          <w:lang w:val="en-GB"/>
        </w:rPr>
        <w:t xml:space="preserve"> up</w:t>
      </w:r>
      <w:r w:rsidRPr="00D13CC8">
        <w:rPr>
          <w:lang w:val="en-GB"/>
        </w:rPr>
        <w:t xml:space="preserve"> into energy </w:t>
      </w:r>
      <w:r w:rsidR="00A53786">
        <w:rPr>
          <w:lang w:val="en-GB"/>
        </w:rPr>
        <w:t>carriers</w:t>
      </w:r>
      <w:r w:rsidR="001E6284">
        <w:rPr>
          <w:lang w:val="en-GB"/>
        </w:rPr>
        <w:t xml:space="preserve"> </w:t>
      </w:r>
      <w:r w:rsidR="000F6917">
        <w:rPr>
          <w:lang w:val="en-GB"/>
        </w:rPr>
        <w:t>is</w:t>
      </w:r>
      <w:r w:rsidR="001E6284">
        <w:rPr>
          <w:lang w:val="en-GB"/>
        </w:rPr>
        <w:t xml:space="preserve"> al</w:t>
      </w:r>
      <w:r w:rsidR="00221388" w:rsidRPr="00D13CC8">
        <w:rPr>
          <w:lang w:val="en-GB"/>
        </w:rPr>
        <w:t>located to the NUTS</w:t>
      </w:r>
      <w:r w:rsidR="00221388" w:rsidRPr="00D13CC8">
        <w:rPr>
          <w:lang w:val="en-GB"/>
        </w:rPr>
        <w:noBreakHyphen/>
        <w:t>3</w:t>
      </w:r>
      <w:r w:rsidR="00ED1BA9" w:rsidRPr="00D13CC8">
        <w:rPr>
          <w:lang w:val="en-GB"/>
        </w:rPr>
        <w:noBreakHyphen/>
      </w:r>
      <w:r w:rsidRPr="00D13CC8">
        <w:rPr>
          <w:lang w:val="en-GB"/>
        </w:rPr>
        <w:t>regions</w:t>
      </w:r>
      <w:r w:rsidR="001E6284">
        <w:rPr>
          <w:lang w:val="en-GB"/>
        </w:rPr>
        <w:t xml:space="preserve"> by using the distribution of heating systems</w:t>
      </w:r>
      <w:r w:rsidRPr="00D13CC8">
        <w:rPr>
          <w:lang w:val="en-GB"/>
        </w:rPr>
        <w:t>. Variations in climatic conditions are taken into account by degree day numbers at NUTS</w:t>
      </w:r>
      <w:r w:rsidR="00ED1BA9" w:rsidRPr="00D13CC8">
        <w:rPr>
          <w:lang w:val="en-GB"/>
        </w:rPr>
        <w:noBreakHyphen/>
      </w:r>
      <w:r w:rsidRPr="00D13CC8">
        <w:rPr>
          <w:lang w:val="en-GB"/>
        </w:rPr>
        <w:t>3</w:t>
      </w:r>
      <w:r w:rsidR="00ED1BA9" w:rsidRPr="00D13CC8">
        <w:rPr>
          <w:lang w:val="en-GB"/>
        </w:rPr>
        <w:noBreakHyphen/>
      </w:r>
      <w:r w:rsidRPr="00D13CC8">
        <w:rPr>
          <w:lang w:val="en-GB"/>
        </w:rPr>
        <w:t>level.</w:t>
      </w:r>
    </w:p>
    <w:p w14:paraId="7E8B5D99" w14:textId="77777777" w:rsidR="003F7544" w:rsidRPr="00D13CC8" w:rsidRDefault="003F7544" w:rsidP="003F7544">
      <w:pPr>
        <w:rPr>
          <w:b/>
          <w:lang w:val="en-GB"/>
        </w:rPr>
      </w:pPr>
    </w:p>
    <w:p w14:paraId="31AC33E2" w14:textId="10B8A412" w:rsidR="00EA549B" w:rsidRDefault="005937FB" w:rsidP="003F7544">
      <w:pPr>
        <w:rPr>
          <w:lang w:val="en-GB"/>
        </w:rPr>
      </w:pPr>
      <w:r w:rsidRPr="00D13CC8">
        <w:rPr>
          <w:lang w:val="en-GB"/>
        </w:rPr>
        <w:t xml:space="preserve">The </w:t>
      </w:r>
      <w:r w:rsidR="00464692">
        <w:rPr>
          <w:lang w:val="en-GB"/>
        </w:rPr>
        <w:t>spatial</w:t>
      </w:r>
      <w:r w:rsidR="00EA549B">
        <w:rPr>
          <w:lang w:val="en-GB"/>
        </w:rPr>
        <w:t xml:space="preserve"> </w:t>
      </w:r>
      <w:r w:rsidRPr="00D13CC8">
        <w:rPr>
          <w:lang w:val="en-GB"/>
        </w:rPr>
        <w:t>distribution of heat</w:t>
      </w:r>
      <w:r w:rsidR="001778F4">
        <w:rPr>
          <w:lang w:val="en-GB"/>
        </w:rPr>
        <w:t xml:space="preserve">ing systems </w:t>
      </w:r>
      <w:r w:rsidR="000F6917">
        <w:rPr>
          <w:lang w:val="en-GB"/>
        </w:rPr>
        <w:t xml:space="preserve">by </w:t>
      </w:r>
      <w:r w:rsidR="00ED1BA9">
        <w:rPr>
          <w:lang w:val="en-GB"/>
        </w:rPr>
        <w:t>energy carriers</w:t>
      </w:r>
      <w:r w:rsidR="000F6917">
        <w:rPr>
          <w:lang w:val="en-GB"/>
        </w:rPr>
        <w:t xml:space="preserve"> </w:t>
      </w:r>
      <w:r w:rsidR="001778F4">
        <w:rPr>
          <w:lang w:val="en-GB"/>
        </w:rPr>
        <w:t xml:space="preserve">is </w:t>
      </w:r>
      <w:r w:rsidR="000F6917">
        <w:rPr>
          <w:lang w:val="en-GB"/>
        </w:rPr>
        <w:t xml:space="preserve">provided by </w:t>
      </w:r>
      <w:r w:rsidRPr="00D13CC8">
        <w:rPr>
          <w:lang w:val="en-GB"/>
        </w:rPr>
        <w:t>the national offices</w:t>
      </w:r>
      <w:r w:rsidR="002515BD">
        <w:rPr>
          <w:lang w:val="en-GB"/>
        </w:rPr>
        <w:t xml:space="preserve"> for statistics</w:t>
      </w:r>
      <w:r w:rsidRPr="00D13CC8">
        <w:rPr>
          <w:lang w:val="en-GB"/>
        </w:rPr>
        <w:t xml:space="preserve">. If the data quality is lower, regional final energy consumption by energy </w:t>
      </w:r>
      <w:r w:rsidR="000F6917">
        <w:rPr>
          <w:lang w:val="en-GB"/>
        </w:rPr>
        <w:t>carrier</w:t>
      </w:r>
      <w:r w:rsidRPr="00D13CC8">
        <w:rPr>
          <w:lang w:val="en-GB"/>
        </w:rPr>
        <w:t xml:space="preserve"> is used. The</w:t>
      </w:r>
      <w:r w:rsidR="000F6917">
        <w:rPr>
          <w:lang w:val="en-GB"/>
        </w:rPr>
        <w:t xml:space="preserve">reby </w:t>
      </w:r>
      <w:r w:rsidR="002515BD">
        <w:rPr>
          <w:lang w:val="en-GB"/>
        </w:rPr>
        <w:t xml:space="preserve">additional applications </w:t>
      </w:r>
      <w:r w:rsidR="002515BD" w:rsidRPr="00D13CC8">
        <w:rPr>
          <w:lang w:val="en-GB"/>
        </w:rPr>
        <w:t>(lighting, cooking, ...)</w:t>
      </w:r>
      <w:r w:rsidR="002515BD">
        <w:rPr>
          <w:lang w:val="en-GB"/>
        </w:rPr>
        <w:t xml:space="preserve"> have to be subtracted from the data</w:t>
      </w:r>
      <w:r w:rsidRPr="00D13CC8">
        <w:rPr>
          <w:lang w:val="en-GB"/>
        </w:rPr>
        <w:t xml:space="preserve"> </w:t>
      </w:r>
      <w:r w:rsidR="002515BD">
        <w:rPr>
          <w:lang w:val="en-GB"/>
        </w:rPr>
        <w:t xml:space="preserve">to derive the </w:t>
      </w:r>
      <w:r w:rsidRPr="00D13CC8">
        <w:rPr>
          <w:lang w:val="en-GB"/>
        </w:rPr>
        <w:t>heating structure for</w:t>
      </w:r>
      <w:r w:rsidR="002515BD">
        <w:rPr>
          <w:lang w:val="en-GB"/>
        </w:rPr>
        <w:t xml:space="preserve"> space</w:t>
      </w:r>
      <w:r w:rsidRPr="00D13CC8">
        <w:rPr>
          <w:lang w:val="en-GB"/>
        </w:rPr>
        <w:t xml:space="preserve"> heating and hot water. </w:t>
      </w:r>
      <w:r w:rsidR="003302A4">
        <w:rPr>
          <w:lang w:val="en-GB"/>
        </w:rPr>
        <w:t xml:space="preserve">However, these </w:t>
      </w:r>
      <w:r w:rsidR="0070085E">
        <w:rPr>
          <w:lang w:val="en-GB"/>
        </w:rPr>
        <w:t>methods</w:t>
      </w:r>
      <w:r w:rsidR="003302A4">
        <w:rPr>
          <w:lang w:val="en-GB"/>
        </w:rPr>
        <w:t xml:space="preserve"> </w:t>
      </w:r>
      <w:r w:rsidR="00EA549B">
        <w:rPr>
          <w:lang w:val="en-GB"/>
        </w:rPr>
        <w:t>cannot be applied to a</w:t>
      </w:r>
      <w:r w:rsidR="005761EE">
        <w:rPr>
          <w:lang w:val="en-GB"/>
        </w:rPr>
        <w:t>ll countries</w:t>
      </w:r>
      <w:r w:rsidR="00EA549B">
        <w:rPr>
          <w:lang w:val="en-GB"/>
        </w:rPr>
        <w:t xml:space="preserve"> making individual </w:t>
      </w:r>
      <w:r w:rsidR="005761EE">
        <w:rPr>
          <w:lang w:val="en-GB"/>
        </w:rPr>
        <w:t>ones</w:t>
      </w:r>
      <w:r w:rsidR="00EA549B">
        <w:rPr>
          <w:lang w:val="en-GB"/>
        </w:rPr>
        <w:t xml:space="preserve"> necessary.</w:t>
      </w:r>
    </w:p>
    <w:p w14:paraId="6C2DC95A" w14:textId="77777777" w:rsidR="003F7544" w:rsidRDefault="003F7544" w:rsidP="003F7544">
      <w:pPr>
        <w:rPr>
          <w:b/>
          <w:lang w:val="en-GB"/>
        </w:rPr>
      </w:pPr>
    </w:p>
    <w:p w14:paraId="7A754540" w14:textId="6A1D43CF" w:rsidR="005937FB" w:rsidRDefault="005937FB" w:rsidP="003F7544">
      <w:pPr>
        <w:rPr>
          <w:b/>
          <w:lang w:val="en-GB"/>
        </w:rPr>
      </w:pPr>
      <w:r w:rsidRPr="00D13CC8">
        <w:rPr>
          <w:lang w:val="en-GB"/>
        </w:rPr>
        <w:t xml:space="preserve">The annual final energy consumption for </w:t>
      </w:r>
      <w:r w:rsidR="00EA549B">
        <w:rPr>
          <w:lang w:val="en-GB"/>
        </w:rPr>
        <w:t xml:space="preserve">space </w:t>
      </w:r>
      <w:r w:rsidRPr="00D13CC8">
        <w:rPr>
          <w:lang w:val="en-GB"/>
        </w:rPr>
        <w:t xml:space="preserve">heating and hot water of </w:t>
      </w:r>
      <w:r w:rsidR="00DB3303" w:rsidRPr="00D13CC8">
        <w:rPr>
          <w:lang w:val="en-GB"/>
        </w:rPr>
        <w:t>each NUTS</w:t>
      </w:r>
      <w:r w:rsidR="00DB3303" w:rsidRPr="00D13CC8">
        <w:rPr>
          <w:lang w:val="en-GB"/>
        </w:rPr>
        <w:noBreakHyphen/>
      </w:r>
      <w:r w:rsidRPr="00D13CC8">
        <w:rPr>
          <w:lang w:val="en-GB"/>
        </w:rPr>
        <w:t>3</w:t>
      </w:r>
      <w:r w:rsidR="00ED1BA9" w:rsidRPr="00D13CC8">
        <w:rPr>
          <w:lang w:val="en-GB"/>
        </w:rPr>
        <w:noBreakHyphen/>
      </w:r>
      <w:r w:rsidRPr="00D13CC8">
        <w:rPr>
          <w:lang w:val="en-GB"/>
        </w:rPr>
        <w:t xml:space="preserve">region is converted into daily </w:t>
      </w:r>
      <w:r w:rsidR="001D71F6">
        <w:rPr>
          <w:lang w:val="en-GB"/>
        </w:rPr>
        <w:t>data</w:t>
      </w:r>
      <w:r w:rsidRPr="00D13CC8">
        <w:rPr>
          <w:lang w:val="en-GB"/>
        </w:rPr>
        <w:t xml:space="preserve"> using the degree day </w:t>
      </w:r>
      <w:r w:rsidR="00ED1BA9">
        <w:rPr>
          <w:lang w:val="en-GB"/>
        </w:rPr>
        <w:t>numbers</w:t>
      </w:r>
      <w:r w:rsidRPr="00D13CC8">
        <w:rPr>
          <w:lang w:val="en-GB"/>
        </w:rPr>
        <w:t>, where</w:t>
      </w:r>
      <w:r w:rsidR="001D71F6">
        <w:rPr>
          <w:lang w:val="en-GB"/>
        </w:rPr>
        <w:t>by</w:t>
      </w:r>
      <w:r w:rsidRPr="00D13CC8">
        <w:rPr>
          <w:lang w:val="en-GB"/>
        </w:rPr>
        <w:t xml:space="preserve"> no seasonal effect is assumed for hot water consumption. </w:t>
      </w:r>
      <w:r w:rsidR="001D71F6">
        <w:rPr>
          <w:lang w:val="en-GB"/>
        </w:rPr>
        <w:t>Using</w:t>
      </w:r>
      <w:r w:rsidRPr="00D13CC8">
        <w:rPr>
          <w:lang w:val="en-GB"/>
        </w:rPr>
        <w:t xml:space="preserve"> temperature-dependent standard</w:t>
      </w:r>
      <w:r w:rsidR="00464692">
        <w:rPr>
          <w:lang w:val="en-GB"/>
        </w:rPr>
        <w:t xml:space="preserve"> gas</w:t>
      </w:r>
      <w:r w:rsidRPr="00D13CC8">
        <w:rPr>
          <w:lang w:val="en-GB"/>
        </w:rPr>
        <w:t xml:space="preserve"> loa</w:t>
      </w:r>
      <w:r w:rsidR="001D71F6">
        <w:rPr>
          <w:lang w:val="en-GB"/>
        </w:rPr>
        <w:t>d profiles</w:t>
      </w:r>
      <w:r w:rsidRPr="00D13CC8">
        <w:rPr>
          <w:lang w:val="en-GB"/>
        </w:rPr>
        <w:t xml:space="preserve"> the daily quantities of </w:t>
      </w:r>
      <w:r w:rsidR="00ED1BA9">
        <w:rPr>
          <w:lang w:val="en-GB"/>
        </w:rPr>
        <w:t xml:space="preserve">space </w:t>
      </w:r>
      <w:r w:rsidRPr="00D13CC8">
        <w:rPr>
          <w:lang w:val="en-GB"/>
        </w:rPr>
        <w:t xml:space="preserve">heating and hot water demand are </w:t>
      </w:r>
      <w:r w:rsidR="005761EE">
        <w:rPr>
          <w:lang w:val="en-GB"/>
        </w:rPr>
        <w:t>transformed</w:t>
      </w:r>
      <w:r w:rsidRPr="00D13CC8">
        <w:rPr>
          <w:lang w:val="en-GB"/>
        </w:rPr>
        <w:t xml:space="preserve"> into hou</w:t>
      </w:r>
      <w:bookmarkStart w:id="0" w:name="_GoBack"/>
      <w:bookmarkEnd w:id="0"/>
      <w:r w:rsidRPr="00D13CC8">
        <w:rPr>
          <w:lang w:val="en-GB"/>
        </w:rPr>
        <w:t>rly load profiles.</w:t>
      </w:r>
    </w:p>
    <w:p w14:paraId="0DB044F7" w14:textId="77777777" w:rsidR="00DF5E59" w:rsidRPr="00D13CC8" w:rsidRDefault="00DF5E59" w:rsidP="001D71F6">
      <w:pPr>
        <w:pStyle w:val="Ueberschrift"/>
        <w:rPr>
          <w:b w:val="0"/>
          <w:spacing w:val="0"/>
          <w:sz w:val="20"/>
          <w:lang w:val="en-GB" w:eastAsia="ko-KR"/>
        </w:rPr>
      </w:pPr>
    </w:p>
    <w:p w14:paraId="740A68A0" w14:textId="33D81D67" w:rsidR="005E4D4F" w:rsidRPr="00D13CC8" w:rsidRDefault="00DB3303" w:rsidP="005937FB">
      <w:pPr>
        <w:pStyle w:val="Ueberschrift"/>
        <w:rPr>
          <w:lang w:val="en-GB"/>
        </w:rPr>
      </w:pPr>
      <w:r w:rsidRPr="00D13CC8">
        <w:rPr>
          <w:lang w:val="en-GB"/>
        </w:rPr>
        <w:t>Results and conclusions</w:t>
      </w:r>
    </w:p>
    <w:p w14:paraId="7D7745D0" w14:textId="7FBF4013" w:rsidR="00921FD4" w:rsidRDefault="00921FD4" w:rsidP="00921FD4">
      <w:pPr>
        <w:rPr>
          <w:lang w:val="en-GB"/>
        </w:rPr>
      </w:pPr>
      <w:r w:rsidRPr="0022603F">
        <w:rPr>
          <w:lang w:val="en-GB"/>
        </w:rPr>
        <w:t xml:space="preserve">About 80 % of final energy in private households is resolved hourly </w:t>
      </w:r>
      <w:r>
        <w:rPr>
          <w:lang w:val="en-GB"/>
        </w:rPr>
        <w:t xml:space="preserve">for the </w:t>
      </w:r>
      <w:r w:rsidRPr="0022603F">
        <w:rPr>
          <w:lang w:val="en-GB"/>
        </w:rPr>
        <w:t>NUTS</w:t>
      </w:r>
      <w:r w:rsidRPr="0022603F">
        <w:rPr>
          <w:lang w:val="en-GB"/>
        </w:rPr>
        <w:noBreakHyphen/>
        <w:t>3</w:t>
      </w:r>
      <w:r w:rsidRPr="0022603F">
        <w:rPr>
          <w:lang w:val="en-GB"/>
        </w:rPr>
        <w:noBreakHyphen/>
      </w:r>
      <w:r>
        <w:rPr>
          <w:lang w:val="en-GB"/>
        </w:rPr>
        <w:t>regions</w:t>
      </w:r>
      <w:r w:rsidRPr="0022603F">
        <w:rPr>
          <w:lang w:val="en-GB"/>
        </w:rPr>
        <w:t xml:space="preserve">. </w:t>
      </w:r>
      <w:r w:rsidR="00464692">
        <w:rPr>
          <w:lang w:val="en-GB"/>
        </w:rPr>
        <w:t>Spatial</w:t>
      </w:r>
      <w:r w:rsidRPr="0022603F">
        <w:rPr>
          <w:lang w:val="en-GB"/>
        </w:rPr>
        <w:t xml:space="preserve"> characteristics </w:t>
      </w:r>
      <w:r>
        <w:rPr>
          <w:lang w:val="en-GB"/>
        </w:rPr>
        <w:t>concerning the use of energy carriers and the resulting loads, depending on the outdoor temperature can be derived from the model.</w:t>
      </w:r>
    </w:p>
    <w:p w14:paraId="10EF4267" w14:textId="77777777" w:rsidR="00921FD4" w:rsidRDefault="00921FD4" w:rsidP="00921FD4">
      <w:pPr>
        <w:rPr>
          <w:lang w:val="en-GB"/>
        </w:rPr>
      </w:pPr>
    </w:p>
    <w:p w14:paraId="34215545" w14:textId="0DEBD00C" w:rsidR="00921FD4" w:rsidRDefault="00921FD4" w:rsidP="00921FD4">
      <w:pPr>
        <w:rPr>
          <w:lang w:val="en-GB"/>
        </w:rPr>
      </w:pPr>
      <w:r w:rsidRPr="0022603F">
        <w:rPr>
          <w:lang w:val="en-GB"/>
        </w:rPr>
        <w:t>Figure</w:t>
      </w:r>
      <w:r w:rsidR="003F7544">
        <w:rPr>
          <w:lang w:val="en-GB"/>
        </w:rPr>
        <w:t> </w:t>
      </w:r>
      <w:r w:rsidRPr="0022603F">
        <w:rPr>
          <w:lang w:val="en-GB"/>
        </w:rPr>
        <w:t xml:space="preserve">1 shows the distribution of electrical heating systems in </w:t>
      </w:r>
      <w:r>
        <w:rPr>
          <w:lang w:val="en-GB"/>
        </w:rPr>
        <w:t>France</w:t>
      </w:r>
      <w:r w:rsidRPr="0022603F">
        <w:rPr>
          <w:lang w:val="en-GB"/>
        </w:rPr>
        <w:t xml:space="preserve">. </w:t>
      </w:r>
      <w:r>
        <w:rPr>
          <w:lang w:val="en-GB"/>
        </w:rPr>
        <w:t>There is a higher share of</w:t>
      </w:r>
      <w:r w:rsidRPr="0022603F">
        <w:rPr>
          <w:lang w:val="en-GB"/>
        </w:rPr>
        <w:t xml:space="preserve"> electrical heating systems in the south and south-west</w:t>
      </w:r>
      <w:r>
        <w:rPr>
          <w:lang w:val="en-GB"/>
        </w:rPr>
        <w:t>, declining by looking to the interior of the country.</w:t>
      </w:r>
    </w:p>
    <w:p w14:paraId="3A789F51" w14:textId="4EB6CF7A" w:rsidR="00476ADF" w:rsidRPr="00D13CC8" w:rsidRDefault="00EB7B69" w:rsidP="00D90086">
      <w:pPr>
        <w:jc w:val="center"/>
        <w:rPr>
          <w:lang w:val="en-GB"/>
        </w:rPr>
      </w:pPr>
      <w:r w:rsidRPr="00D13CC8">
        <w:rPr>
          <w:noProof/>
          <w:lang w:eastAsia="de-DE"/>
        </w:rPr>
        <w:lastRenderedPageBreak/>
        <w:drawing>
          <wp:inline distT="0" distB="0" distL="0" distR="0" wp14:anchorId="3599E91E" wp14:editId="47481EE4">
            <wp:extent cx="3759738" cy="3816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kreich_Elektroheizungen.e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6"/>
                    <a:stretch/>
                  </pic:blipFill>
                  <pic:spPr bwMode="auto">
                    <a:xfrm>
                      <a:off x="0" y="0"/>
                      <a:ext cx="3759738" cy="38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4C74F" w14:textId="46BBBF48" w:rsidR="00EB7B69" w:rsidRDefault="00E57338" w:rsidP="00EB7B69">
      <w:pPr>
        <w:pStyle w:val="Abbildungsbeschriftung"/>
        <w:rPr>
          <w:lang w:val="en-GB"/>
        </w:rPr>
      </w:pPr>
      <w:r w:rsidRPr="00D13CC8">
        <w:rPr>
          <w:lang w:val="en-GB"/>
        </w:rPr>
        <w:t>Figure</w:t>
      </w:r>
      <w:r w:rsidR="00EB7B69" w:rsidRPr="00D13CC8">
        <w:rPr>
          <w:lang w:val="en-GB"/>
        </w:rPr>
        <w:t xml:space="preserve"> </w:t>
      </w:r>
      <w:r w:rsidR="006A14E7" w:rsidRPr="00D13CC8">
        <w:rPr>
          <w:lang w:val="en-GB"/>
        </w:rPr>
        <w:t>1</w:t>
      </w:r>
      <w:r w:rsidR="00EB7B69" w:rsidRPr="00D13CC8">
        <w:rPr>
          <w:lang w:val="en-GB"/>
        </w:rPr>
        <w:t xml:space="preserve">: </w:t>
      </w:r>
      <w:r w:rsidRPr="00D13CC8">
        <w:rPr>
          <w:lang w:val="en-GB"/>
        </w:rPr>
        <w:t xml:space="preserve">Share of </w:t>
      </w:r>
      <w:r w:rsidR="00DC7B9B" w:rsidRPr="0022603F">
        <w:rPr>
          <w:lang w:val="en-GB"/>
        </w:rPr>
        <w:t xml:space="preserve">electrical </w:t>
      </w:r>
      <w:r w:rsidRPr="00D13CC8">
        <w:rPr>
          <w:lang w:val="en-GB"/>
        </w:rPr>
        <w:t xml:space="preserve">heating </w:t>
      </w:r>
      <w:r w:rsidR="002B6D14">
        <w:rPr>
          <w:lang w:val="en-GB"/>
        </w:rPr>
        <w:t xml:space="preserve">systems </w:t>
      </w:r>
      <w:r w:rsidRPr="00D13CC8">
        <w:rPr>
          <w:lang w:val="en-GB"/>
        </w:rPr>
        <w:t>in each NUTS-3-region in France</w:t>
      </w:r>
      <w:r w:rsidR="00D22772">
        <w:rPr>
          <w:lang w:val="en-GB"/>
        </w:rPr>
        <w:t xml:space="preserve"> [2]</w:t>
      </w:r>
    </w:p>
    <w:p w14:paraId="258833DB" w14:textId="77777777" w:rsidR="00921FD4" w:rsidRDefault="00921FD4" w:rsidP="00921FD4">
      <w:pPr>
        <w:rPr>
          <w:lang w:val="en-GB"/>
        </w:rPr>
      </w:pPr>
    </w:p>
    <w:p w14:paraId="40DEF638" w14:textId="01FF8713" w:rsidR="00EB7B69" w:rsidRDefault="00747AB8" w:rsidP="00921FD4">
      <w:pPr>
        <w:rPr>
          <w:lang w:val="en-GB"/>
        </w:rPr>
      </w:pPr>
      <w:r>
        <w:rPr>
          <w:lang w:val="en-GB"/>
        </w:rPr>
        <w:t>Considerable differences in the heating structure within a country are shown by the load profiles in figure 2 (exemplary shown for Switzerland)</w:t>
      </w:r>
      <w:r w:rsidR="00921FD4" w:rsidRPr="0022603F">
        <w:rPr>
          <w:lang w:val="en-GB"/>
        </w:rPr>
        <w:t>. In Basel-Stadt</w:t>
      </w:r>
      <w:r w:rsidR="00921FD4">
        <w:rPr>
          <w:lang w:val="en-GB"/>
        </w:rPr>
        <w:t xml:space="preserve"> </w:t>
      </w:r>
      <w:r w:rsidR="00921FD4" w:rsidRPr="0022603F">
        <w:rPr>
          <w:lang w:val="en-GB"/>
        </w:rPr>
        <w:t>district heating and gas are primarily</w:t>
      </w:r>
      <w:r w:rsidR="00921FD4" w:rsidRPr="00921FD4">
        <w:rPr>
          <w:lang w:val="en-GB"/>
        </w:rPr>
        <w:t xml:space="preserve"> </w:t>
      </w:r>
      <w:r w:rsidR="00921FD4" w:rsidRPr="0022603F">
        <w:rPr>
          <w:lang w:val="en-GB"/>
        </w:rPr>
        <w:t>used to provide heat. The share of electric</w:t>
      </w:r>
      <w:r w:rsidR="005761EE">
        <w:rPr>
          <w:lang w:val="en-GB"/>
        </w:rPr>
        <w:t>al</w:t>
      </w:r>
      <w:r w:rsidR="00921FD4" w:rsidRPr="0022603F">
        <w:rPr>
          <w:lang w:val="en-GB"/>
        </w:rPr>
        <w:t xml:space="preserve"> and oil-fired heating systems </w:t>
      </w:r>
      <w:r>
        <w:rPr>
          <w:lang w:val="en-GB"/>
        </w:rPr>
        <w:t>is lowest on state average, whereas in Ticino</w:t>
      </w:r>
      <w:r w:rsidR="00921FD4" w:rsidRPr="0022603F">
        <w:rPr>
          <w:lang w:val="en-GB"/>
        </w:rPr>
        <w:t xml:space="preserve">, </w:t>
      </w:r>
      <w:r>
        <w:rPr>
          <w:lang w:val="en-GB"/>
        </w:rPr>
        <w:t>their share is substantially higher</w:t>
      </w:r>
      <w:r w:rsidR="00921FD4" w:rsidRPr="0022603F">
        <w:rPr>
          <w:lang w:val="en-GB"/>
        </w:rPr>
        <w:t xml:space="preserve">. </w:t>
      </w:r>
      <w:r w:rsidR="00347260">
        <w:rPr>
          <w:lang w:val="en-GB"/>
        </w:rPr>
        <w:t>B</w:t>
      </w:r>
      <w:r w:rsidR="00921FD4" w:rsidRPr="0022603F">
        <w:rPr>
          <w:lang w:val="en-GB"/>
        </w:rPr>
        <w:t>ase load correspond</w:t>
      </w:r>
      <w:r w:rsidR="00347260">
        <w:rPr>
          <w:lang w:val="en-GB"/>
        </w:rPr>
        <w:t>s to the provision of hot water while</w:t>
      </w:r>
      <w:r w:rsidR="00921FD4" w:rsidRPr="0022603F">
        <w:rPr>
          <w:lang w:val="en-GB"/>
        </w:rPr>
        <w:t xml:space="preserve"> </w:t>
      </w:r>
      <w:r w:rsidR="00347260">
        <w:rPr>
          <w:lang w:val="en-GB"/>
        </w:rPr>
        <w:t>t</w:t>
      </w:r>
      <w:r w:rsidR="00921FD4" w:rsidRPr="0022603F">
        <w:rPr>
          <w:lang w:val="en-GB"/>
        </w:rPr>
        <w:t xml:space="preserve">he volatile share of the annual load curve is attributable to the temperature-dependent </w:t>
      </w:r>
      <w:r>
        <w:rPr>
          <w:lang w:val="en-GB"/>
        </w:rPr>
        <w:t>space</w:t>
      </w:r>
      <w:r w:rsidR="00921FD4" w:rsidRPr="0022603F">
        <w:rPr>
          <w:lang w:val="en-GB"/>
        </w:rPr>
        <w:t xml:space="preserve"> heating. The </w:t>
      </w:r>
      <w:r>
        <w:rPr>
          <w:lang w:val="en-GB"/>
        </w:rPr>
        <w:t xml:space="preserve">derived </w:t>
      </w:r>
      <w:r w:rsidR="00921FD4" w:rsidRPr="0022603F">
        <w:rPr>
          <w:lang w:val="en-GB"/>
        </w:rPr>
        <w:t>load curve</w:t>
      </w:r>
      <w:r w:rsidR="00347260">
        <w:rPr>
          <w:lang w:val="en-GB"/>
        </w:rPr>
        <w:t>, split into energy carriers,</w:t>
      </w:r>
      <w:r w:rsidR="00921FD4" w:rsidRPr="0022603F">
        <w:rPr>
          <w:lang w:val="en-GB"/>
        </w:rPr>
        <w:t xml:space="preserve"> can be </w:t>
      </w:r>
      <w:r w:rsidR="00347260">
        <w:rPr>
          <w:lang w:val="en-GB"/>
        </w:rPr>
        <w:t>transformed into an</w:t>
      </w:r>
      <w:r w:rsidR="00D10BF7">
        <w:rPr>
          <w:lang w:val="en-GB"/>
        </w:rPr>
        <w:t xml:space="preserve"> electrical load</w:t>
      </w:r>
      <w:r w:rsidR="00347260">
        <w:rPr>
          <w:lang w:val="en-GB"/>
        </w:rPr>
        <w:t xml:space="preserve"> </w:t>
      </w:r>
      <w:r w:rsidR="00D22772">
        <w:rPr>
          <w:lang w:val="en-GB"/>
        </w:rPr>
        <w:t xml:space="preserve">(e.g. by using heat pumps </w:t>
      </w:r>
      <w:r w:rsidR="005761EE">
        <w:rPr>
          <w:lang w:val="en-GB"/>
        </w:rPr>
        <w:t>as</w:t>
      </w:r>
      <w:r w:rsidR="00D22772">
        <w:rPr>
          <w:lang w:val="en-GB"/>
        </w:rPr>
        <w:t xml:space="preserve"> in [3]) to investigate effects</w:t>
      </w:r>
      <w:r w:rsidR="00347260">
        <w:rPr>
          <w:lang w:val="en-GB"/>
        </w:rPr>
        <w:t xml:space="preserve"> </w:t>
      </w:r>
      <w:r w:rsidR="00D22772">
        <w:rPr>
          <w:lang w:val="en-GB"/>
        </w:rPr>
        <w:t>of</w:t>
      </w:r>
      <w:r w:rsidR="00347260">
        <w:rPr>
          <w:lang w:val="en-GB"/>
        </w:rPr>
        <w:t xml:space="preserve"> energy carrier specific policy measures. This data is </w:t>
      </w:r>
      <w:r w:rsidR="00717EFF">
        <w:rPr>
          <w:lang w:val="en-GB"/>
        </w:rPr>
        <w:t>valuable</w:t>
      </w:r>
      <w:r w:rsidR="00347260">
        <w:rPr>
          <w:lang w:val="en-GB"/>
        </w:rPr>
        <w:t xml:space="preserve"> for</w:t>
      </w:r>
      <w:r w:rsidR="00D10BF7">
        <w:rPr>
          <w:lang w:val="en-GB"/>
        </w:rPr>
        <w:t xml:space="preserve"> spatially </w:t>
      </w:r>
      <w:r w:rsidR="00464692">
        <w:rPr>
          <w:lang w:val="en-GB"/>
        </w:rPr>
        <w:t>resolved</w:t>
      </w:r>
      <w:r w:rsidR="00D10BF7">
        <w:rPr>
          <w:lang w:val="en-GB"/>
        </w:rPr>
        <w:t xml:space="preserve"> energy system models.</w:t>
      </w:r>
    </w:p>
    <w:p w14:paraId="7B495D86" w14:textId="77777777" w:rsidR="00DF5E59" w:rsidRPr="00D13CC8" w:rsidRDefault="00DF5E59" w:rsidP="00921FD4">
      <w:pPr>
        <w:rPr>
          <w:lang w:val="en-GB"/>
        </w:rPr>
      </w:pPr>
    </w:p>
    <w:p w14:paraId="2D0B8FFD" w14:textId="1A197E0D" w:rsidR="00AD2B84" w:rsidRPr="00D13CC8" w:rsidRDefault="00B01E32" w:rsidP="00AD2B84">
      <w:pPr>
        <w:keepNext/>
        <w:rPr>
          <w:lang w:val="en-GB"/>
        </w:rPr>
      </w:pPr>
      <w:r w:rsidRPr="00D13CC8">
        <w:rPr>
          <w:noProof/>
          <w:lang w:eastAsia="de-DE"/>
        </w:rPr>
        <w:drawing>
          <wp:inline distT="0" distB="0" distL="0" distR="0" wp14:anchorId="12884025" wp14:editId="7E17A16C">
            <wp:extent cx="5745738" cy="1987108"/>
            <wp:effectExtent l="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38" cy="19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8752A" w14:textId="558AA521" w:rsidR="00EB7B69" w:rsidRPr="00D13CC8" w:rsidRDefault="00E57338" w:rsidP="00D53E86">
      <w:pPr>
        <w:pStyle w:val="Abbildungsbeschriftung"/>
        <w:rPr>
          <w:i w:val="0"/>
          <w:lang w:val="en-GB"/>
        </w:rPr>
      </w:pPr>
      <w:r w:rsidRPr="00D13CC8">
        <w:rPr>
          <w:lang w:val="en-GB"/>
        </w:rPr>
        <w:t>Figure</w:t>
      </w:r>
      <w:r w:rsidR="00803917" w:rsidRPr="00D13CC8">
        <w:rPr>
          <w:lang w:val="en-GB"/>
        </w:rPr>
        <w:t xml:space="preserve"> </w:t>
      </w:r>
      <w:r w:rsidR="00AD2B84" w:rsidRPr="00D13CC8">
        <w:rPr>
          <w:lang w:val="en-GB"/>
        </w:rPr>
        <w:t>2</w:t>
      </w:r>
      <w:r w:rsidR="00803917" w:rsidRPr="00D13CC8">
        <w:rPr>
          <w:lang w:val="en-GB"/>
        </w:rPr>
        <w:t xml:space="preserve">: </w:t>
      </w:r>
      <w:r w:rsidR="00D10BF7">
        <w:rPr>
          <w:lang w:val="en-GB"/>
        </w:rPr>
        <w:t>Space h</w:t>
      </w:r>
      <w:r w:rsidRPr="00D13CC8">
        <w:rPr>
          <w:lang w:val="en-GB"/>
        </w:rPr>
        <w:t xml:space="preserve">eating and hot water </w:t>
      </w:r>
      <w:r w:rsidR="00500F36">
        <w:rPr>
          <w:lang w:val="en-GB"/>
        </w:rPr>
        <w:t>load curves of two Swiss NUTS-3-</w:t>
      </w:r>
      <w:r w:rsidRPr="00D13CC8">
        <w:rPr>
          <w:lang w:val="en-GB"/>
        </w:rPr>
        <w:t xml:space="preserve">regions </w:t>
      </w:r>
      <w:r w:rsidR="00D10BF7">
        <w:rPr>
          <w:lang w:val="en-GB"/>
        </w:rPr>
        <w:t>for</w:t>
      </w:r>
      <w:r w:rsidRPr="00D13CC8">
        <w:rPr>
          <w:lang w:val="en-GB"/>
        </w:rPr>
        <w:t xml:space="preserve"> 2014</w:t>
      </w:r>
    </w:p>
    <w:p w14:paraId="31EA6DC2" w14:textId="77777777" w:rsidR="00DC4450" w:rsidRPr="00D13CC8" w:rsidRDefault="00DC4450" w:rsidP="00227125">
      <w:pPr>
        <w:rPr>
          <w:lang w:val="en-GB"/>
        </w:rPr>
      </w:pPr>
    </w:p>
    <w:p w14:paraId="31A10589" w14:textId="77777777" w:rsidR="00D22772" w:rsidRPr="005E4D4F" w:rsidRDefault="00D22772" w:rsidP="00D22772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14:paraId="0B9F2165" w14:textId="319B5CED" w:rsidR="00D90086" w:rsidRPr="003D4E52" w:rsidRDefault="00D22772" w:rsidP="003D4E52">
      <w:pPr>
        <w:pStyle w:val="Literatur"/>
      </w:pPr>
      <w:r>
        <w:t>[1]</w:t>
      </w:r>
      <w:r>
        <w:tab/>
      </w:r>
      <w:r w:rsidR="003D4E52" w:rsidRPr="003D4E52">
        <w:t>Klimaschutzplan 2050</w:t>
      </w:r>
      <w:r w:rsidR="003D4E52">
        <w:t xml:space="preserve"> – Klimaschutzpolitische Grundsätze und Ziele der Bundesregierung. Berlin: </w:t>
      </w:r>
      <w:r w:rsidR="003D4E52" w:rsidRPr="003D4E52">
        <w:t>Bundesministerium für Umwelt, Naturschutz, Bau und Reaktorsicherheit (BMUB)</w:t>
      </w:r>
      <w:r w:rsidR="003D4E52">
        <w:t>, 2016</w:t>
      </w:r>
    </w:p>
    <w:p w14:paraId="7E66753A" w14:textId="7BF4E514" w:rsidR="00D22772" w:rsidRPr="00D90086" w:rsidRDefault="00D22772" w:rsidP="00D90086">
      <w:pPr>
        <w:pStyle w:val="Literatur"/>
      </w:pPr>
      <w:r>
        <w:t>[2]</w:t>
      </w:r>
      <w:r>
        <w:tab/>
      </w:r>
      <w:proofErr w:type="spellStart"/>
      <w:r w:rsidR="00D90086" w:rsidRPr="00D90086">
        <w:t>Résidences</w:t>
      </w:r>
      <w:proofErr w:type="spellEnd"/>
      <w:r w:rsidR="00D90086" w:rsidRPr="00D90086">
        <w:t xml:space="preserve"> </w:t>
      </w:r>
      <w:proofErr w:type="spellStart"/>
      <w:r w:rsidR="00D90086" w:rsidRPr="00D90086">
        <w:t>principales</w:t>
      </w:r>
      <w:proofErr w:type="spellEnd"/>
      <w:r w:rsidR="00D90086" w:rsidRPr="00D90086">
        <w:t xml:space="preserve"> par type de </w:t>
      </w:r>
      <w:proofErr w:type="spellStart"/>
      <w:r w:rsidR="00D90086" w:rsidRPr="00D90086">
        <w:t>logement</w:t>
      </w:r>
      <w:proofErr w:type="spellEnd"/>
      <w:r w:rsidR="00D90086" w:rsidRPr="00D90086">
        <w:t xml:space="preserve">, </w:t>
      </w:r>
      <w:proofErr w:type="spellStart"/>
      <w:r w:rsidR="00D90086" w:rsidRPr="00D90086">
        <w:t>statut</w:t>
      </w:r>
      <w:proofErr w:type="spellEnd"/>
      <w:r w:rsidR="00D90086" w:rsidRPr="00D90086">
        <w:t xml:space="preserve"> </w:t>
      </w:r>
      <w:proofErr w:type="spellStart"/>
      <w:r w:rsidR="00D90086" w:rsidRPr="00D90086">
        <w:t>d'occupation</w:t>
      </w:r>
      <w:proofErr w:type="spellEnd"/>
      <w:r w:rsidR="00D90086" w:rsidRPr="00D90086">
        <w:t xml:space="preserve"> et </w:t>
      </w:r>
      <w:proofErr w:type="spellStart"/>
      <w:r w:rsidR="00D90086" w:rsidRPr="00D90086">
        <w:t>combustible</w:t>
      </w:r>
      <w:proofErr w:type="spellEnd"/>
      <w:r w:rsidR="00D90086" w:rsidRPr="00D90086">
        <w:t xml:space="preserve"> </w:t>
      </w:r>
      <w:proofErr w:type="spellStart"/>
      <w:r w:rsidR="00D90086" w:rsidRPr="00D90086">
        <w:t>principal</w:t>
      </w:r>
      <w:proofErr w:type="spellEnd"/>
      <w:r w:rsidR="00D90086" w:rsidRPr="00D90086">
        <w:t xml:space="preserve"> (France </w:t>
      </w:r>
      <w:proofErr w:type="spellStart"/>
      <w:r w:rsidR="00D90086" w:rsidRPr="00D90086">
        <w:t>métropolitaine</w:t>
      </w:r>
      <w:proofErr w:type="spellEnd"/>
      <w:r w:rsidR="00D90086" w:rsidRPr="00D90086">
        <w:t xml:space="preserve">) </w:t>
      </w:r>
      <w:r w:rsidR="003D4E52">
        <w:t>–</w:t>
      </w:r>
      <w:r w:rsidR="00D90086" w:rsidRPr="00D90086">
        <w:t xml:space="preserve"> Residential </w:t>
      </w:r>
      <w:proofErr w:type="spellStart"/>
      <w:r w:rsidR="00D90086" w:rsidRPr="00D90086">
        <w:t>heatingsystems</w:t>
      </w:r>
      <w:proofErr w:type="spellEnd"/>
      <w:r w:rsidR="00D90086" w:rsidRPr="00D90086">
        <w:t xml:space="preserve"> in France. Paris: Institut national de la </w:t>
      </w:r>
      <w:proofErr w:type="spellStart"/>
      <w:r w:rsidR="00D90086" w:rsidRPr="00D90086">
        <w:t>statistique</w:t>
      </w:r>
      <w:proofErr w:type="spellEnd"/>
      <w:r w:rsidR="00D90086" w:rsidRPr="00D90086">
        <w:t xml:space="preserve"> et des </w:t>
      </w:r>
      <w:proofErr w:type="spellStart"/>
      <w:r w:rsidR="00D90086" w:rsidRPr="00D90086">
        <w:t>études</w:t>
      </w:r>
      <w:proofErr w:type="spellEnd"/>
      <w:r w:rsidR="00D90086" w:rsidRPr="00D90086">
        <w:t xml:space="preserve"> </w:t>
      </w:r>
      <w:proofErr w:type="spellStart"/>
      <w:r w:rsidR="00D90086" w:rsidRPr="00D90086">
        <w:t>économiques</w:t>
      </w:r>
      <w:proofErr w:type="spellEnd"/>
      <w:r w:rsidR="00D90086" w:rsidRPr="00D90086">
        <w:t xml:space="preserve"> (INSEE), 2017</w:t>
      </w:r>
    </w:p>
    <w:p w14:paraId="1D287EEC" w14:textId="1CC88C71" w:rsidR="005E4D4F" w:rsidRPr="00D13CC8" w:rsidRDefault="001E1801" w:rsidP="00227125">
      <w:pPr>
        <w:pStyle w:val="Literatur"/>
        <w:rPr>
          <w:lang w:val="en-GB"/>
        </w:rPr>
      </w:pPr>
      <w:r>
        <w:t xml:space="preserve">[3] </w:t>
      </w:r>
      <w:proofErr w:type="spellStart"/>
      <w:r w:rsidR="00D90086" w:rsidRPr="00D90086">
        <w:t>Pellinger</w:t>
      </w:r>
      <w:proofErr w:type="spellEnd"/>
      <w:r w:rsidR="00D90086" w:rsidRPr="00D90086">
        <w:t xml:space="preserve">, Christoph; Schmid, Tobias; et al.: </w:t>
      </w:r>
      <w:proofErr w:type="spellStart"/>
      <w:r w:rsidR="00D90086" w:rsidRPr="00D90086">
        <w:t>Merit</w:t>
      </w:r>
      <w:proofErr w:type="spellEnd"/>
      <w:r w:rsidR="00D90086" w:rsidRPr="00D90086">
        <w:t xml:space="preserve"> Order der Energiespeicherung im Jahr 2030 - Hauptbericht. München: Forschungsstelle für Energiewirtschaft e.V. (</w:t>
      </w:r>
      <w:proofErr w:type="spellStart"/>
      <w:r w:rsidR="00D90086" w:rsidRPr="00D90086">
        <w:t>FfE</w:t>
      </w:r>
      <w:proofErr w:type="spellEnd"/>
      <w:r w:rsidR="00D90086" w:rsidRPr="00D90086">
        <w:t>), 2016</w:t>
      </w:r>
    </w:p>
    <w:sectPr w:rsidR="005E4D4F" w:rsidRPr="00D13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2CEDA3" w15:done="0"/>
  <w15:commentEx w15:paraId="491BB18F" w15:paraIdParent="712CEDA3" w15:done="0"/>
  <w15:commentEx w15:paraId="3008F396" w15:done="0"/>
  <w15:commentEx w15:paraId="2657F37B" w15:paraIdParent="3008F3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40440" w14:textId="77777777" w:rsidR="001779F3" w:rsidRDefault="001779F3">
      <w:r>
        <w:separator/>
      </w:r>
    </w:p>
  </w:endnote>
  <w:endnote w:type="continuationSeparator" w:id="0">
    <w:p w14:paraId="30A154F5" w14:textId="77777777" w:rsidR="001779F3" w:rsidRDefault="001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AB27" w14:textId="77777777" w:rsidR="001779F3" w:rsidRDefault="001779F3">
      <w:r>
        <w:separator/>
      </w:r>
    </w:p>
  </w:footnote>
  <w:footnote w:type="continuationSeparator" w:id="0">
    <w:p w14:paraId="2BB39D81" w14:textId="77777777" w:rsidR="001779F3" w:rsidRDefault="001779F3">
      <w:r>
        <w:continuationSeparator/>
      </w:r>
    </w:p>
  </w:footnote>
  <w:footnote w:id="1">
    <w:p w14:paraId="2751AD38" w14:textId="5DAB40DF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BC1DE1">
        <w:t>Am Blütenanger 71, 80995 München</w:t>
      </w:r>
      <w:r w:rsidR="00E520E6">
        <w:t xml:space="preserve">, </w:t>
      </w:r>
      <w:r w:rsidR="00BC1DE1">
        <w:t>+49-89-15812170</w:t>
      </w:r>
      <w:r w:rsidR="00A6148D">
        <w:t>,</w:t>
      </w:r>
      <w:r w:rsidR="00FD5D56">
        <w:t xml:space="preserve"> </w:t>
      </w:r>
      <w:r w:rsidR="00BC1DE1">
        <w:t>cpellinger@ffe.de</w:t>
      </w:r>
      <w:r>
        <w:t xml:space="preserve">, </w:t>
      </w:r>
      <w:r w:rsidR="00BC1DE1">
        <w:t>www.ffe.de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1F"/>
    <w:multiLevelType w:val="multilevel"/>
    <w:tmpl w:val="0978BA90"/>
    <w:numStyleLink w:val="Aufzhlung"/>
  </w:abstractNum>
  <w:abstractNum w:abstractNumId="1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75967"/>
    <w:multiLevelType w:val="multilevel"/>
    <w:tmpl w:val="0978BA90"/>
    <w:numStyleLink w:val="Aufzhlung"/>
  </w:abstractNum>
  <w:abstractNum w:abstractNumId="3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229C5"/>
    <w:multiLevelType w:val="hybridMultilevel"/>
    <w:tmpl w:val="EF38DBEE"/>
    <w:lvl w:ilvl="0" w:tplc="0A0230A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 Guminski">
    <w15:presenceInfo w15:providerId="None" w15:userId="Andrej Guminski"/>
  </w15:person>
  <w15:person w15:author="jgawlick">
    <w15:presenceInfo w15:providerId="None" w15:userId="jgawl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F"/>
    <w:rsid w:val="000109B5"/>
    <w:rsid w:val="00010E92"/>
    <w:rsid w:val="00023F1F"/>
    <w:rsid w:val="00074EEF"/>
    <w:rsid w:val="00076CC5"/>
    <w:rsid w:val="000900E6"/>
    <w:rsid w:val="000C7AE7"/>
    <w:rsid w:val="000F6917"/>
    <w:rsid w:val="00156EA1"/>
    <w:rsid w:val="001778F4"/>
    <w:rsid w:val="001779F3"/>
    <w:rsid w:val="001D71F6"/>
    <w:rsid w:val="001E1801"/>
    <w:rsid w:val="001E6284"/>
    <w:rsid w:val="002014D3"/>
    <w:rsid w:val="00207F82"/>
    <w:rsid w:val="00221388"/>
    <w:rsid w:val="00227125"/>
    <w:rsid w:val="002515BD"/>
    <w:rsid w:val="00262FD5"/>
    <w:rsid w:val="002946B8"/>
    <w:rsid w:val="002B6D14"/>
    <w:rsid w:val="002C7A54"/>
    <w:rsid w:val="002E6D51"/>
    <w:rsid w:val="00315DDD"/>
    <w:rsid w:val="003302A4"/>
    <w:rsid w:val="00347260"/>
    <w:rsid w:val="00350F98"/>
    <w:rsid w:val="00360160"/>
    <w:rsid w:val="00370A75"/>
    <w:rsid w:val="003930AE"/>
    <w:rsid w:val="003B676F"/>
    <w:rsid w:val="003B6B5D"/>
    <w:rsid w:val="003C28FE"/>
    <w:rsid w:val="003D4E52"/>
    <w:rsid w:val="003F7544"/>
    <w:rsid w:val="00464692"/>
    <w:rsid w:val="0047274E"/>
    <w:rsid w:val="00476ADF"/>
    <w:rsid w:val="00483B87"/>
    <w:rsid w:val="004B6ECB"/>
    <w:rsid w:val="004C2EE3"/>
    <w:rsid w:val="004C5123"/>
    <w:rsid w:val="004D2303"/>
    <w:rsid w:val="004E1066"/>
    <w:rsid w:val="00500F36"/>
    <w:rsid w:val="00520F89"/>
    <w:rsid w:val="0056350B"/>
    <w:rsid w:val="005714AD"/>
    <w:rsid w:val="005761EE"/>
    <w:rsid w:val="00577EDE"/>
    <w:rsid w:val="005819D7"/>
    <w:rsid w:val="005937FB"/>
    <w:rsid w:val="005B007B"/>
    <w:rsid w:val="005B1ADB"/>
    <w:rsid w:val="005E4D4F"/>
    <w:rsid w:val="005E734C"/>
    <w:rsid w:val="00631AB1"/>
    <w:rsid w:val="0066016D"/>
    <w:rsid w:val="00673FCD"/>
    <w:rsid w:val="00675E01"/>
    <w:rsid w:val="006A14E7"/>
    <w:rsid w:val="006A749C"/>
    <w:rsid w:val="006C39D3"/>
    <w:rsid w:val="006D39E9"/>
    <w:rsid w:val="006F7EAC"/>
    <w:rsid w:val="0070085E"/>
    <w:rsid w:val="0070407F"/>
    <w:rsid w:val="00717EFF"/>
    <w:rsid w:val="007311BD"/>
    <w:rsid w:val="007378C8"/>
    <w:rsid w:val="00741EC0"/>
    <w:rsid w:val="00747AB8"/>
    <w:rsid w:val="00762F0C"/>
    <w:rsid w:val="007724AC"/>
    <w:rsid w:val="007810B2"/>
    <w:rsid w:val="007C7C4C"/>
    <w:rsid w:val="00803917"/>
    <w:rsid w:val="008060DD"/>
    <w:rsid w:val="008464CD"/>
    <w:rsid w:val="00861BB8"/>
    <w:rsid w:val="00921FD4"/>
    <w:rsid w:val="00944CDD"/>
    <w:rsid w:val="00970B6D"/>
    <w:rsid w:val="00982986"/>
    <w:rsid w:val="00986FB3"/>
    <w:rsid w:val="00991D4D"/>
    <w:rsid w:val="009C091D"/>
    <w:rsid w:val="009C2760"/>
    <w:rsid w:val="009E677F"/>
    <w:rsid w:val="009F70ED"/>
    <w:rsid w:val="00A0079C"/>
    <w:rsid w:val="00A00D1D"/>
    <w:rsid w:val="00A07737"/>
    <w:rsid w:val="00A156E4"/>
    <w:rsid w:val="00A26BE8"/>
    <w:rsid w:val="00A53786"/>
    <w:rsid w:val="00A6148D"/>
    <w:rsid w:val="00A84DAE"/>
    <w:rsid w:val="00AD2B84"/>
    <w:rsid w:val="00B01E32"/>
    <w:rsid w:val="00B04FDB"/>
    <w:rsid w:val="00B10180"/>
    <w:rsid w:val="00B32F86"/>
    <w:rsid w:val="00BB5C35"/>
    <w:rsid w:val="00BC1DE1"/>
    <w:rsid w:val="00BF05FA"/>
    <w:rsid w:val="00C3118F"/>
    <w:rsid w:val="00C33537"/>
    <w:rsid w:val="00C71DD3"/>
    <w:rsid w:val="00C757B7"/>
    <w:rsid w:val="00CE1A70"/>
    <w:rsid w:val="00D012FC"/>
    <w:rsid w:val="00D10BF7"/>
    <w:rsid w:val="00D13CC8"/>
    <w:rsid w:val="00D22772"/>
    <w:rsid w:val="00D53E86"/>
    <w:rsid w:val="00D64AE2"/>
    <w:rsid w:val="00D736F8"/>
    <w:rsid w:val="00D859FB"/>
    <w:rsid w:val="00D90086"/>
    <w:rsid w:val="00DB3303"/>
    <w:rsid w:val="00DC4450"/>
    <w:rsid w:val="00DC7B9B"/>
    <w:rsid w:val="00DD5D88"/>
    <w:rsid w:val="00DF2835"/>
    <w:rsid w:val="00DF5E59"/>
    <w:rsid w:val="00E230F9"/>
    <w:rsid w:val="00E36EDC"/>
    <w:rsid w:val="00E520E6"/>
    <w:rsid w:val="00E53339"/>
    <w:rsid w:val="00E57338"/>
    <w:rsid w:val="00E80165"/>
    <w:rsid w:val="00E855FD"/>
    <w:rsid w:val="00E8607B"/>
    <w:rsid w:val="00E87ED9"/>
    <w:rsid w:val="00EA549B"/>
    <w:rsid w:val="00EB472D"/>
    <w:rsid w:val="00EB7B69"/>
    <w:rsid w:val="00ED1BA9"/>
    <w:rsid w:val="00ED431B"/>
    <w:rsid w:val="00ED4A77"/>
    <w:rsid w:val="00F37611"/>
    <w:rsid w:val="00F4211E"/>
    <w:rsid w:val="00F46C16"/>
    <w:rsid w:val="00F7382D"/>
    <w:rsid w:val="00F967F3"/>
    <w:rsid w:val="00FB64B8"/>
    <w:rsid w:val="00FB69AE"/>
    <w:rsid w:val="00FD5D5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5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F82"/>
    <w:rPr>
      <w:rFonts w:ascii="Tahoma" w:hAnsi="Tahoma" w:cs="Tahoma"/>
      <w:sz w:val="16"/>
      <w:szCs w:val="16"/>
      <w:lang w:eastAsia="ko-KR"/>
    </w:rPr>
  </w:style>
  <w:style w:type="paragraph" w:styleId="Beschriftung">
    <w:name w:val="caption"/>
    <w:basedOn w:val="Standard"/>
    <w:next w:val="Standard"/>
    <w:uiPriority w:val="35"/>
    <w:unhideWhenUsed/>
    <w:qFormat/>
    <w:rsid w:val="00AD2B84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0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91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91D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91D"/>
    <w:rPr>
      <w:rFonts w:ascii="Arial" w:hAnsi="Arial"/>
      <w:b/>
      <w:bCs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9D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9D3"/>
    <w:rPr>
      <w:rFonts w:ascii="Arial" w:hAnsi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F82"/>
    <w:rPr>
      <w:rFonts w:ascii="Tahoma" w:hAnsi="Tahoma" w:cs="Tahoma"/>
      <w:sz w:val="16"/>
      <w:szCs w:val="16"/>
      <w:lang w:eastAsia="ko-KR"/>
    </w:rPr>
  </w:style>
  <w:style w:type="paragraph" w:styleId="Beschriftung">
    <w:name w:val="caption"/>
    <w:basedOn w:val="Standard"/>
    <w:next w:val="Standard"/>
    <w:uiPriority w:val="35"/>
    <w:unhideWhenUsed/>
    <w:qFormat/>
    <w:rsid w:val="00AD2B84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0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91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91D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91D"/>
    <w:rPr>
      <w:rFonts w:ascii="Arial" w:hAnsi="Arial"/>
      <w:b/>
      <w:bCs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9D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9D3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6153-B605-4D45-8B66-C690662E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Gerald</dc:creator>
  <cp:lastModifiedBy>Christoph Pellinger</cp:lastModifiedBy>
  <cp:revision>9</cp:revision>
  <dcterms:created xsi:type="dcterms:W3CDTF">2018-11-07T11:37:00Z</dcterms:created>
  <dcterms:modified xsi:type="dcterms:W3CDTF">2018-11-07T15:51:00Z</dcterms:modified>
</cp:coreProperties>
</file>