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D4F" w:rsidRPr="005E4D4F" w:rsidRDefault="00B10DD2" w:rsidP="005E4D4F">
      <w:pPr>
        <w:pStyle w:val="Abstract-Titel"/>
      </w:pPr>
      <w:bookmarkStart w:id="0" w:name="_GoBack"/>
      <w:bookmarkEnd w:id="0"/>
      <w:r w:rsidRPr="00B10DD2">
        <w:t>Hotmaps – Open source Toolbox und Datenbasis zur Wärme- und Kälteplanung – erste Ergebnisse der Demonstration</w:t>
      </w:r>
    </w:p>
    <w:p w:rsidR="00BF05FA" w:rsidRDefault="00BF05FA" w:rsidP="00A156E4">
      <w:pPr>
        <w:pStyle w:val="AutorenOrganisation"/>
      </w:pPr>
      <w:r w:rsidRPr="005D533A">
        <w:t>Themenbereich</w:t>
      </w:r>
      <w:r w:rsidR="00C869A8" w:rsidRPr="005D533A">
        <w:t xml:space="preserve"> </w:t>
      </w:r>
      <w:r w:rsidR="005D533A" w:rsidRPr="005D533A">
        <w:t>Modellierung</w:t>
      </w:r>
    </w:p>
    <w:p w:rsidR="005E4D4F" w:rsidRPr="00951544" w:rsidRDefault="0017151F" w:rsidP="00A156E4">
      <w:pPr>
        <w:pStyle w:val="AutorenOrganisation"/>
      </w:pPr>
      <w:r>
        <w:t>Marcus HUMMEL</w:t>
      </w:r>
      <w:r w:rsidR="005E4D4F" w:rsidRPr="00010E92">
        <w:rPr>
          <w:vertAlign w:val="superscript"/>
        </w:rPr>
        <w:footnoteReference w:id="1"/>
      </w:r>
      <w:r w:rsidR="00A156E4" w:rsidRPr="00A156E4">
        <w:rPr>
          <w:vertAlign w:val="superscript"/>
        </w:rPr>
        <w:t>(1</w:t>
      </w:r>
      <w:r w:rsidR="00A156E4">
        <w:rPr>
          <w:vertAlign w:val="superscript"/>
        </w:rPr>
        <w:t>)</w:t>
      </w:r>
      <w:r w:rsidR="005D533A" w:rsidRPr="005E4D4F">
        <w:t xml:space="preserve">, </w:t>
      </w:r>
      <w:r w:rsidR="005D533A" w:rsidRPr="0056500E">
        <w:t>Andreas MÜLLER</w:t>
      </w:r>
      <w:r w:rsidR="005D533A" w:rsidRPr="0056500E">
        <w:rPr>
          <w:vertAlign w:val="superscript"/>
        </w:rPr>
        <w:t xml:space="preserve"> (1)</w:t>
      </w:r>
      <w:r w:rsidR="005D533A" w:rsidRPr="0056500E">
        <w:t>, Michael HARTNER</w:t>
      </w:r>
      <w:r w:rsidR="005D533A" w:rsidRPr="0056500E">
        <w:rPr>
          <w:vertAlign w:val="superscript"/>
        </w:rPr>
        <w:t xml:space="preserve"> (2)</w:t>
      </w:r>
      <w:r w:rsidR="005D533A" w:rsidRPr="0056500E">
        <w:t>, Mostafa FALLAHNEJAD</w:t>
      </w:r>
      <w:r w:rsidR="005D533A" w:rsidRPr="0056500E">
        <w:rPr>
          <w:vertAlign w:val="superscript"/>
        </w:rPr>
        <w:t xml:space="preserve"> (2)</w:t>
      </w:r>
      <w:r w:rsidR="005E4D4F" w:rsidRPr="0056500E">
        <w:t xml:space="preserve">, </w:t>
      </w:r>
      <w:r w:rsidR="001D76EC" w:rsidRPr="0056500E">
        <w:t>Lukas KRANZL</w:t>
      </w:r>
      <w:r w:rsidR="00951544" w:rsidRPr="0056500E">
        <w:rPr>
          <w:vertAlign w:val="superscript"/>
        </w:rPr>
        <w:t xml:space="preserve"> </w:t>
      </w:r>
      <w:r w:rsidR="00A156E4" w:rsidRPr="0056500E">
        <w:rPr>
          <w:vertAlign w:val="superscript"/>
        </w:rPr>
        <w:t>(</w:t>
      </w:r>
      <w:r w:rsidR="00B10DD2" w:rsidRPr="0056500E">
        <w:rPr>
          <w:vertAlign w:val="superscript"/>
        </w:rPr>
        <w:t>2</w:t>
      </w:r>
      <w:r w:rsidR="00A156E4" w:rsidRPr="0056500E">
        <w:rPr>
          <w:vertAlign w:val="superscript"/>
        </w:rPr>
        <w:t>)</w:t>
      </w:r>
    </w:p>
    <w:p w:rsidR="005E4D4F" w:rsidRPr="005D533A" w:rsidRDefault="00B10DD2" w:rsidP="005E4D4F">
      <w:pPr>
        <w:pStyle w:val="AutorenOrganisation"/>
      </w:pPr>
      <w:r w:rsidRPr="005D533A">
        <w:rPr>
          <w:vertAlign w:val="superscript"/>
        </w:rPr>
        <w:t>(1)</w:t>
      </w:r>
      <w:r w:rsidRPr="005D533A">
        <w:t>e-think,</w:t>
      </w:r>
      <w:r w:rsidRPr="005D533A">
        <w:rPr>
          <w:vertAlign w:val="superscript"/>
        </w:rPr>
        <w:t xml:space="preserve"> </w:t>
      </w:r>
      <w:r w:rsidR="00A156E4" w:rsidRPr="005D533A">
        <w:rPr>
          <w:vertAlign w:val="superscript"/>
        </w:rPr>
        <w:t>(</w:t>
      </w:r>
      <w:r w:rsidRPr="005D533A">
        <w:rPr>
          <w:vertAlign w:val="superscript"/>
        </w:rPr>
        <w:t>2</w:t>
      </w:r>
      <w:r w:rsidR="00A156E4" w:rsidRPr="005D533A">
        <w:rPr>
          <w:vertAlign w:val="superscript"/>
        </w:rPr>
        <w:t>)</w:t>
      </w:r>
      <w:r w:rsidR="0017151F" w:rsidRPr="005D533A">
        <w:t>TU Wien, Energy Economics Group</w:t>
      </w:r>
    </w:p>
    <w:p w:rsidR="00A07737" w:rsidRPr="005D533A" w:rsidRDefault="00A07737" w:rsidP="00FB69AE">
      <w:pPr>
        <w:rPr>
          <w:lang w:val="de-AT"/>
        </w:rPr>
      </w:pPr>
    </w:p>
    <w:p w:rsidR="005E4D4F" w:rsidRPr="005E4D4F" w:rsidRDefault="005E4D4F" w:rsidP="005E4D4F">
      <w:pPr>
        <w:pStyle w:val="Ueberschrift"/>
      </w:pPr>
      <w:r w:rsidRPr="005E4D4F">
        <w:t>Motivation und zentrale Fragestellung</w:t>
      </w:r>
    </w:p>
    <w:p w:rsidR="00B825D3" w:rsidRPr="00D55DEF" w:rsidRDefault="00B825D3" w:rsidP="00227125">
      <w:pPr>
        <w:rPr>
          <w:lang w:val="de-AT"/>
        </w:rPr>
      </w:pPr>
      <w:r>
        <w:t>Auf dem Weg zu einer nahezu CO</w:t>
      </w:r>
      <w:r w:rsidRPr="00B825D3">
        <w:rPr>
          <w:vertAlign w:val="subscript"/>
        </w:rPr>
        <w:t>2</w:t>
      </w:r>
      <w:r>
        <w:t xml:space="preserve"> freien Deckung des Wärme- und Kältebedarfs bis 2050 spielt die mittel- bis langfristige Planung und </w:t>
      </w:r>
      <w:r w:rsidR="0078151C">
        <w:t xml:space="preserve">darauf basierte </w:t>
      </w:r>
      <w:r>
        <w:t xml:space="preserve">Entscheidungsfindung der lokalen und regionalen Politik eine zentrale Rolle. Dafür ist es notwendig regional verortete Daten und Informationen zu verarbeiten, mögliche Szenarien zukünftiger </w:t>
      </w:r>
      <w:r w:rsidR="00FD68D5">
        <w:t xml:space="preserve">Entwicklungen </w:t>
      </w:r>
      <w:r w:rsidR="0078151C">
        <w:t xml:space="preserve">des Wärme- und Kältesystems </w:t>
      </w:r>
      <w:r w:rsidR="00FD68D5">
        <w:t xml:space="preserve">zu entwickeln sowie deren Auswirkungen auf Kosten und Emissionen für die jeweilige Region zu untersuchen. </w:t>
      </w:r>
      <w:r w:rsidR="00D55DEF">
        <w:t xml:space="preserve">Um Mitarbeitern lokaler und regionaler </w:t>
      </w:r>
      <w:r w:rsidR="0078151C">
        <w:t>Behörden</w:t>
      </w:r>
      <w:r w:rsidR="00D55DEF">
        <w:t xml:space="preserve"> eine entsprechende Analyse und Szenarienentwicklung zu erleichtern wird derzeit</w:t>
      </w:r>
      <w:r w:rsidR="00256DB3">
        <w:t xml:space="preserve"> im Rahmen des EU Horizon 2020 Projekts</w:t>
      </w:r>
      <w:r w:rsidR="00D55DEF">
        <w:t xml:space="preserve"> Hotmaps</w:t>
      </w:r>
      <w:r w:rsidR="00256DB3">
        <w:t xml:space="preserve"> [1] ein </w:t>
      </w:r>
      <w:r w:rsidR="0078151C">
        <w:t>O</w:t>
      </w:r>
      <w:r w:rsidR="00D55DEF">
        <w:t xml:space="preserve">pen </w:t>
      </w:r>
      <w:r w:rsidR="0078151C">
        <w:t>S</w:t>
      </w:r>
      <w:r w:rsidR="00D55DEF">
        <w:t xml:space="preserve">ource </w:t>
      </w:r>
      <w:r w:rsidR="0078151C">
        <w:t>T</w:t>
      </w:r>
      <w:r w:rsidR="00D55DEF">
        <w:t xml:space="preserve">ool </w:t>
      </w:r>
      <w:r w:rsidR="00256DB3">
        <w:t xml:space="preserve">und Datenbasis </w:t>
      </w:r>
      <w:r w:rsidR="00D55DEF">
        <w:t>entwickelt und demonstriert.</w:t>
      </w:r>
      <w:r w:rsidR="0052784E">
        <w:t xml:space="preserve"> Das Ziel dieses Beitrags ist, einige wesentliche Funktionalitäten des Tools anhand ausgewählter Fallstudien in Europa zu demonstrieren und daraus Schlussfolgerungen für die Entwicklung lokaler, kommunaler Wärme- und Kältestrategien abzuleiten.</w:t>
      </w:r>
    </w:p>
    <w:p w:rsidR="00B10DD2" w:rsidRPr="00D55DEF" w:rsidRDefault="00B10DD2" w:rsidP="00227125">
      <w:pPr>
        <w:rPr>
          <w:lang w:val="de-AT"/>
        </w:rPr>
      </w:pPr>
    </w:p>
    <w:p w:rsidR="005E4D4F" w:rsidRPr="005E4D4F" w:rsidRDefault="005E4D4F" w:rsidP="005E4D4F">
      <w:pPr>
        <w:pStyle w:val="Ueberschrift"/>
      </w:pPr>
      <w:r w:rsidRPr="005E4D4F">
        <w:t>Methodische Vorgangsweise</w:t>
      </w:r>
    </w:p>
    <w:p w:rsidR="00EE7551" w:rsidRDefault="00EE7551" w:rsidP="00227125">
      <w:r>
        <w:t xml:space="preserve">In einem ersten Schritt wurde ein Default-Datenset erstellt, welches </w:t>
      </w:r>
      <w:r w:rsidR="00EF20AA">
        <w:t xml:space="preserve">regional verortete </w:t>
      </w:r>
      <w:r>
        <w:t xml:space="preserve">Abschätzungen für relevante Daten zur Planung von Wärme- und Kältesystemen </w:t>
      </w:r>
      <w:r w:rsidR="00E82132">
        <w:t xml:space="preserve">für alle Länder der EU-28 </w:t>
      </w:r>
      <w:r>
        <w:t>zur Verfügung stellt. Dieses Datenset umfasst einerseits bedarfsrelevante Daten wie Gebäudeflächen und Bedarfsdichten, und andererseits Daten zur Abschätzung potenzieller Bereitstellung aus CO</w:t>
      </w:r>
      <w:r w:rsidRPr="00EE7551">
        <w:rPr>
          <w:vertAlign w:val="subscript"/>
        </w:rPr>
        <w:t>2</w:t>
      </w:r>
      <w:r>
        <w:t>-neutralen Quellen wie Solarthermie, Geothermie</w:t>
      </w:r>
      <w:r w:rsidR="00E82132">
        <w:t>, Biomasse</w:t>
      </w:r>
      <w:r>
        <w:t xml:space="preserve">, industrielle Abwärme oder </w:t>
      </w:r>
      <w:r w:rsidR="000A1E8E">
        <w:t>Abwärme aus Kläranlagen. Diese Daten wurden entweder aus vergang</w:t>
      </w:r>
      <w:r w:rsidR="0060391B">
        <w:t>enen Projekten zusammengetragen</w:t>
      </w:r>
      <w:r w:rsidR="000A1E8E">
        <w:t xml:space="preserve"> oder </w:t>
      </w:r>
      <w:r w:rsidR="0060391B">
        <w:t>eigens für dieses Projekt abgeschätzt. Eine detaillierte Darstellung der Methodik der Datenerhebung sowie ein l</w:t>
      </w:r>
      <w:r w:rsidR="0056500E">
        <w:t>ink zu den Datensätzen ist in [2</w:t>
      </w:r>
      <w:r w:rsidR="0060391B">
        <w:t>] zu finden.</w:t>
      </w:r>
    </w:p>
    <w:p w:rsidR="0060391B" w:rsidRDefault="0060391B" w:rsidP="00227125">
      <w:r>
        <w:t xml:space="preserve">Neben dem Default-Datenset wird ein Modellierungswerkzeug zur Wärme- und Kälteplanung erstellt. Dieses umfasst verschiedene Module mit denen Szenarien </w:t>
      </w:r>
      <w:r w:rsidR="00E82132">
        <w:t>zum zukünftigen</w:t>
      </w:r>
      <w:r>
        <w:t xml:space="preserve"> </w:t>
      </w:r>
      <w:r w:rsidR="00E82132">
        <w:t>Wärme- und Kältebedarf sowie zu verschiedenen Optionen der Bereitstellung entwickelt werden können. Die Szenarien können dann hinsichtlich relevanter Parameter wie Emissionen und Kosten miteinander verglichen werden.</w:t>
      </w:r>
    </w:p>
    <w:p w:rsidR="00EE7551" w:rsidRDefault="00E82132" w:rsidP="00227125">
      <w:r>
        <w:t xml:space="preserve">Sowohl das Default-Datenset als auch das Modellierungswerkzeug werden für verschiedene Anwendungsfälle getestet und demonstriert. Für sechs Städte in Europa werden mit dem Modellierungswerkzeug Wärme- und Kältestrategien bis 2050 entwickelt, eine weitere Stadt führt umfangreiche Tests durch. Dabei werden zum einen die Default-Daten für die jeweilige Region mit vor Ort zur Verfügung stehenden Daten verglichen. Zum anderen </w:t>
      </w:r>
      <w:r w:rsidR="00256DB3">
        <w:t>wird die Anwendbarkeit des Tools für die Strategieentwicklung getestet.</w:t>
      </w:r>
    </w:p>
    <w:p w:rsidR="00B10DD2" w:rsidRPr="005E4D4F" w:rsidRDefault="00B10DD2" w:rsidP="00227125"/>
    <w:p w:rsidR="005E4D4F" w:rsidRPr="005E4D4F" w:rsidRDefault="005E4D4F" w:rsidP="005E4D4F">
      <w:pPr>
        <w:pStyle w:val="Ueberschrift"/>
      </w:pPr>
      <w:r w:rsidRPr="005E4D4F">
        <w:t>Ergebnisse und Schlussfolgerungen</w:t>
      </w:r>
    </w:p>
    <w:p w:rsidR="00133FE6" w:rsidRDefault="00B10DD2" w:rsidP="00227125">
      <w:r>
        <w:t xml:space="preserve">Die ersten Tests der default Datenbasis </w:t>
      </w:r>
      <w:r w:rsidR="00256DB3">
        <w:t>zeigen zum einen, dass es Städte und Gemeinden gibt, die über keine Daten zu deren Wärme- bzw. Kältebedarf bzw. CO</w:t>
      </w:r>
      <w:r w:rsidR="00256DB3" w:rsidRPr="00256DB3">
        <w:rPr>
          <w:vertAlign w:val="subscript"/>
        </w:rPr>
        <w:t>2</w:t>
      </w:r>
      <w:r w:rsidR="00256DB3">
        <w:t xml:space="preserve">-freien Angebotspotenzialen verfügen. In diesen Fällen bietet die Default-Datenbasis die Möglichkeit sehr schnell erste </w:t>
      </w:r>
      <w:r w:rsidR="00EF20AA">
        <w:t>Abschätzungen</w:t>
      </w:r>
      <w:r w:rsidR="00256DB3">
        <w:t xml:space="preserve"> durchzuführen. In Städten, in denen entsprechende Daten zur Verfügung stehen</w:t>
      </w:r>
      <w:r w:rsidR="00133FE6">
        <w:t>,</w:t>
      </w:r>
      <w:r w:rsidR="00256DB3">
        <w:t xml:space="preserve"> zeigt sich, dass </w:t>
      </w:r>
      <w:r w:rsidR="00133FE6">
        <w:t xml:space="preserve">die Default Daten in </w:t>
      </w:r>
      <w:r w:rsidR="00EF20AA">
        <w:t>zahlreichen</w:t>
      </w:r>
      <w:r w:rsidR="00133FE6">
        <w:t xml:space="preserve"> Fällen eine annehmbare Annäherung darstellen. Für eine Kartierung relevanter Daten und darauf basierende Strategieentwicklung speziell auf lokaler Ebene sollten aber vor Ort zur Verfügung stehende Daten eingesetzt werden.</w:t>
      </w:r>
    </w:p>
    <w:p w:rsidR="00133FE6" w:rsidRDefault="00133FE6" w:rsidP="00227125">
      <w:r>
        <w:t xml:space="preserve">Derzeit wird das Hotmaps Modellierungswerkzeug für die Strategieentwicklung in den sechs Pilot-Städten eingesetzt. Ergebnisse aus der Kartierung vor Ort verfügbarer Daten, in Diskussion befindliche Szenarien sowie die dafür vorgesehenen Module </w:t>
      </w:r>
      <w:r w:rsidR="00FF315D">
        <w:t xml:space="preserve">des </w:t>
      </w:r>
      <w:r>
        <w:t xml:space="preserve">Hotmaps </w:t>
      </w:r>
      <w:r w:rsidR="00FF315D">
        <w:t xml:space="preserve">Modellierungswerkzeuges </w:t>
      </w:r>
      <w:r>
        <w:lastRenderedPageBreak/>
        <w:t xml:space="preserve">werden im </w:t>
      </w:r>
      <w:r w:rsidR="00FF315D">
        <w:t>Vortrag gezeigt. Darüber hinaus wird über die Angebote zur Einschulung an dem Modellierungswerkzeug informiert, welches in weiterer Folge frei verfügbar und anwendbar sein wird.</w:t>
      </w:r>
    </w:p>
    <w:p w:rsidR="00FF315D" w:rsidRDefault="00FF315D" w:rsidP="00227125"/>
    <w:p w:rsidR="00B10DD2" w:rsidRDefault="00B10DD2" w:rsidP="00227125"/>
    <w:p w:rsidR="00E661C8" w:rsidRDefault="003A05CB" w:rsidP="00227125">
      <w:r>
        <w:rPr>
          <w:noProof/>
          <w:lang w:val="de-AT" w:eastAsia="de-AT"/>
        </w:rPr>
        <w:drawing>
          <wp:inline distT="0" distB="0" distL="0" distR="0">
            <wp:extent cx="5760720" cy="2827655"/>
            <wp:effectExtent l="0" t="0" r="0" b="0"/>
            <wp:docPr id="1" name="Picture 1" descr="screenshotHotmap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HotmapsT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C8" w:rsidRDefault="00E661C8" w:rsidP="00227125"/>
    <w:p w:rsidR="00E661C8" w:rsidRPr="00E661C8" w:rsidRDefault="00E661C8" w:rsidP="00227125">
      <w:pPr>
        <w:rPr>
          <w:i/>
        </w:rPr>
      </w:pPr>
      <w:r w:rsidRPr="00E661C8">
        <w:rPr>
          <w:i/>
        </w:rPr>
        <w:t xml:space="preserve">Abbildung 1: </w:t>
      </w:r>
      <w:r w:rsidR="00FF315D">
        <w:rPr>
          <w:i/>
        </w:rPr>
        <w:t>Screenshot des Hotmaps Modellierungswerkzeugs und der Default-Datenbasis</w:t>
      </w:r>
    </w:p>
    <w:p w:rsidR="00E661C8" w:rsidRDefault="00E661C8" w:rsidP="00227125"/>
    <w:p w:rsidR="00650A6C" w:rsidRDefault="00650A6C" w:rsidP="00227125"/>
    <w:p w:rsidR="00650A6C" w:rsidRDefault="00650A6C" w:rsidP="00227125"/>
    <w:p w:rsidR="00E661C8" w:rsidRDefault="00E661C8" w:rsidP="00227125"/>
    <w:p w:rsidR="00B10DD2" w:rsidRDefault="00B10DD2" w:rsidP="00227125"/>
    <w:p w:rsidR="00031135" w:rsidRPr="00864A99" w:rsidRDefault="00031135" w:rsidP="00031135">
      <w:pPr>
        <w:pStyle w:val="Ueberschrift"/>
        <w:rPr>
          <w:lang w:val="en-GB"/>
        </w:rPr>
      </w:pPr>
      <w:bookmarkStart w:id="1" w:name="_Toc26086066"/>
      <w:bookmarkStart w:id="2" w:name="_Toc68418491"/>
      <w:r w:rsidRPr="00864A99">
        <w:rPr>
          <w:lang w:val="en-GB"/>
        </w:rPr>
        <w:t>Literatur</w:t>
      </w:r>
      <w:bookmarkEnd w:id="1"/>
      <w:bookmarkEnd w:id="2"/>
    </w:p>
    <w:p w:rsidR="00256DB3" w:rsidRPr="0056500E" w:rsidRDefault="00256DB3" w:rsidP="00031135">
      <w:pPr>
        <w:pStyle w:val="Literatur"/>
        <w:rPr>
          <w:lang w:val="en-GB"/>
        </w:rPr>
      </w:pPr>
      <w:r w:rsidRPr="00256DB3">
        <w:rPr>
          <w:lang w:val="en-GB"/>
        </w:rPr>
        <w:t>[1] https://www</w:t>
      </w:r>
      <w:r w:rsidRPr="0056500E">
        <w:rPr>
          <w:lang w:val="en-GB"/>
        </w:rPr>
        <w:t>.hotmaps-project.eu/</w:t>
      </w:r>
    </w:p>
    <w:p w:rsidR="00031135" w:rsidRPr="0052784E" w:rsidRDefault="00256DB3" w:rsidP="00031135">
      <w:pPr>
        <w:pStyle w:val="Literatur"/>
        <w:rPr>
          <w:lang w:val="en-GB"/>
        </w:rPr>
      </w:pPr>
      <w:r w:rsidRPr="0056500E">
        <w:rPr>
          <w:lang w:val="en-GB"/>
        </w:rPr>
        <w:t>[2</w:t>
      </w:r>
      <w:r w:rsidR="00031135" w:rsidRPr="0056500E">
        <w:rPr>
          <w:lang w:val="en-GB"/>
        </w:rPr>
        <w:t>]</w:t>
      </w:r>
      <w:r w:rsidR="00031135" w:rsidRPr="0056500E">
        <w:rPr>
          <w:lang w:val="en-GB"/>
        </w:rPr>
        <w:tab/>
      </w:r>
      <w:r w:rsidR="00C054A0" w:rsidRPr="0056500E">
        <w:rPr>
          <w:lang w:val="en-GB"/>
        </w:rPr>
        <w:t>Pezzutto, S., Zambotti, S., Croce, S., Zambelli, P., Garegnani, G., Scaramuzzino, C., Pascual Pascuas, R., Zubaryeva, A., Haas, F., Exner, D., Müller, A., Hartner, M., Fleiter, T., Klingler, A.-L., Kühnbach, M., Manz, P., Marwitz, S., Rehfeldt, M., Steinbach, J., Popovski, E., 2018. Hotmaps Open Data Set: data collection.</w:t>
      </w:r>
      <w:r w:rsidR="00864A99" w:rsidRPr="0056500E">
        <w:rPr>
          <w:lang w:val="en-GB"/>
        </w:rPr>
        <w:t xml:space="preserve"> </w:t>
      </w:r>
      <w:r w:rsidR="0052784E" w:rsidRPr="0056500E">
        <w:rPr>
          <w:lang w:val="en-GB"/>
        </w:rPr>
        <w:t>Report within the project Hotmaps (www.hotmaps-project.eu/d2-3-wp2-report-open-data-set-eu28/)</w:t>
      </w:r>
    </w:p>
    <w:p w:rsidR="00031135" w:rsidRPr="0052784E" w:rsidRDefault="00031135" w:rsidP="00227125">
      <w:pPr>
        <w:rPr>
          <w:lang w:val="en-GB"/>
        </w:rPr>
      </w:pPr>
    </w:p>
    <w:sectPr w:rsidR="00031135" w:rsidRPr="005278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B1" w:rsidRDefault="007C7FB1">
      <w:r>
        <w:separator/>
      </w:r>
    </w:p>
  </w:endnote>
  <w:endnote w:type="continuationSeparator" w:id="0">
    <w:p w:rsidR="007C7FB1" w:rsidRDefault="007C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B1" w:rsidRDefault="007C7FB1">
      <w:r>
        <w:separator/>
      </w:r>
    </w:p>
  </w:footnote>
  <w:footnote w:type="continuationSeparator" w:id="0">
    <w:p w:rsidR="007C7FB1" w:rsidRDefault="007C7FB1">
      <w:r>
        <w:continuationSeparator/>
      </w:r>
    </w:p>
  </w:footnote>
  <w:footnote w:id="1">
    <w:p w:rsidR="00D53E86" w:rsidRPr="00FB69AE" w:rsidRDefault="00D53E86" w:rsidP="008800B8">
      <w:pPr>
        <w:jc w:val="left"/>
      </w:pPr>
      <w:r w:rsidRPr="00A115D2">
        <w:rPr>
          <w:rStyle w:val="FootnoteReference"/>
        </w:rPr>
        <w:footnoteRef/>
      </w:r>
      <w:r w:rsidR="00B10DD2">
        <w:t>Argentinierstrasse</w:t>
      </w:r>
      <w:r w:rsidR="0017151F">
        <w:t xml:space="preserve"> </w:t>
      </w:r>
      <w:r w:rsidR="00B10DD2">
        <w:t>21/10</w:t>
      </w:r>
      <w:r w:rsidR="0017151F">
        <w:t>, 1040 Wien</w:t>
      </w:r>
      <w:r w:rsidR="00E520E6">
        <w:t xml:space="preserve">, </w:t>
      </w:r>
      <w:r w:rsidR="00B10DD2" w:rsidRPr="00B10DD2">
        <w:t>+43(0)-670-7015799</w:t>
      </w:r>
      <w:r w:rsidR="00A6148D">
        <w:t>,</w:t>
      </w:r>
      <w:r w:rsidR="00FD5D56">
        <w:t xml:space="preserve"> </w:t>
      </w:r>
      <w:r w:rsidR="0017151F">
        <w:t>hummel@</w:t>
      </w:r>
      <w:r w:rsidR="00B10DD2">
        <w:t>e-think</w:t>
      </w:r>
      <w:r w:rsidR="0017151F">
        <w:t>.ac.at</w:t>
      </w:r>
      <w:r>
        <w:t xml:space="preserve">, </w:t>
      </w:r>
      <w:r w:rsidR="0017151F">
        <w:t>www.</w:t>
      </w:r>
      <w:r w:rsidR="00B10DD2">
        <w:t>e-think</w:t>
      </w:r>
      <w:r w:rsidR="0017151F">
        <w:t>.ac.at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071F"/>
    <w:multiLevelType w:val="multilevel"/>
    <w:tmpl w:val="0978BA90"/>
    <w:numStyleLink w:val="Aufzhlung"/>
  </w:abstractNum>
  <w:abstractNum w:abstractNumId="1">
    <w:nsid w:val="17567494"/>
    <w:multiLevelType w:val="hybridMultilevel"/>
    <w:tmpl w:val="0978BA90"/>
    <w:lvl w:ilvl="0" w:tplc="085E6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D75967"/>
    <w:multiLevelType w:val="multilevel"/>
    <w:tmpl w:val="0978BA90"/>
    <w:numStyleLink w:val="Aufzhlung"/>
  </w:abstractNum>
  <w:abstractNum w:abstractNumId="3">
    <w:nsid w:val="6B5E4F19"/>
    <w:multiLevelType w:val="multilevel"/>
    <w:tmpl w:val="0978BA90"/>
    <w:styleLink w:val="Aufzhlung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D4F"/>
    <w:rsid w:val="00010E92"/>
    <w:rsid w:val="00031135"/>
    <w:rsid w:val="000325B6"/>
    <w:rsid w:val="00093B3B"/>
    <w:rsid w:val="000A1E8E"/>
    <w:rsid w:val="000A5237"/>
    <w:rsid w:val="000C01D3"/>
    <w:rsid w:val="000D090A"/>
    <w:rsid w:val="000F4693"/>
    <w:rsid w:val="000F530E"/>
    <w:rsid w:val="0010312D"/>
    <w:rsid w:val="00133FE6"/>
    <w:rsid w:val="0014521C"/>
    <w:rsid w:val="001670AC"/>
    <w:rsid w:val="0017151F"/>
    <w:rsid w:val="001871EF"/>
    <w:rsid w:val="001B5968"/>
    <w:rsid w:val="001D76EC"/>
    <w:rsid w:val="001F0DD9"/>
    <w:rsid w:val="001F2A75"/>
    <w:rsid w:val="002014D3"/>
    <w:rsid w:val="00202232"/>
    <w:rsid w:val="00214636"/>
    <w:rsid w:val="00227125"/>
    <w:rsid w:val="00241FAA"/>
    <w:rsid w:val="00256DB3"/>
    <w:rsid w:val="00262FD5"/>
    <w:rsid w:val="002946B8"/>
    <w:rsid w:val="00294DE5"/>
    <w:rsid w:val="00295EF9"/>
    <w:rsid w:val="002B7C9C"/>
    <w:rsid w:val="002C535A"/>
    <w:rsid w:val="002E62DA"/>
    <w:rsid w:val="00300778"/>
    <w:rsid w:val="00303E31"/>
    <w:rsid w:val="00350F98"/>
    <w:rsid w:val="00351015"/>
    <w:rsid w:val="003632AF"/>
    <w:rsid w:val="003A05CB"/>
    <w:rsid w:val="003B676F"/>
    <w:rsid w:val="003C28FE"/>
    <w:rsid w:val="003D39F8"/>
    <w:rsid w:val="003F5252"/>
    <w:rsid w:val="0047119D"/>
    <w:rsid w:val="00483B87"/>
    <w:rsid w:val="004A7258"/>
    <w:rsid w:val="004C4600"/>
    <w:rsid w:val="004F6C6A"/>
    <w:rsid w:val="00512272"/>
    <w:rsid w:val="0052784E"/>
    <w:rsid w:val="005368AE"/>
    <w:rsid w:val="00554323"/>
    <w:rsid w:val="0056500E"/>
    <w:rsid w:val="005851BA"/>
    <w:rsid w:val="005960FA"/>
    <w:rsid w:val="005A7E4B"/>
    <w:rsid w:val="005B1ADB"/>
    <w:rsid w:val="005B78FF"/>
    <w:rsid w:val="005C2E63"/>
    <w:rsid w:val="005D533A"/>
    <w:rsid w:val="005E4D4F"/>
    <w:rsid w:val="005F4200"/>
    <w:rsid w:val="0060237B"/>
    <w:rsid w:val="0060391B"/>
    <w:rsid w:val="00650A6C"/>
    <w:rsid w:val="0067307D"/>
    <w:rsid w:val="00676E6F"/>
    <w:rsid w:val="006C0DFC"/>
    <w:rsid w:val="006C24CC"/>
    <w:rsid w:val="006E7C41"/>
    <w:rsid w:val="0072759A"/>
    <w:rsid w:val="007378C8"/>
    <w:rsid w:val="00741EC0"/>
    <w:rsid w:val="0074208C"/>
    <w:rsid w:val="00755C96"/>
    <w:rsid w:val="0078151C"/>
    <w:rsid w:val="007C7FB1"/>
    <w:rsid w:val="007E3594"/>
    <w:rsid w:val="00803917"/>
    <w:rsid w:val="0082236B"/>
    <w:rsid w:val="008462E4"/>
    <w:rsid w:val="00864A99"/>
    <w:rsid w:val="00867A25"/>
    <w:rsid w:val="008800B8"/>
    <w:rsid w:val="00886206"/>
    <w:rsid w:val="008C5164"/>
    <w:rsid w:val="008F5746"/>
    <w:rsid w:val="00913AE1"/>
    <w:rsid w:val="00944869"/>
    <w:rsid w:val="00951544"/>
    <w:rsid w:val="00966C94"/>
    <w:rsid w:val="00A07737"/>
    <w:rsid w:val="00A156E4"/>
    <w:rsid w:val="00A42036"/>
    <w:rsid w:val="00A6148D"/>
    <w:rsid w:val="00A650FE"/>
    <w:rsid w:val="00A65BD8"/>
    <w:rsid w:val="00A73C2F"/>
    <w:rsid w:val="00A808C2"/>
    <w:rsid w:val="00A81DD0"/>
    <w:rsid w:val="00AD44AD"/>
    <w:rsid w:val="00AE56B7"/>
    <w:rsid w:val="00B10DD2"/>
    <w:rsid w:val="00B50E45"/>
    <w:rsid w:val="00B825D3"/>
    <w:rsid w:val="00B86763"/>
    <w:rsid w:val="00BE74DA"/>
    <w:rsid w:val="00BF05FA"/>
    <w:rsid w:val="00C045BC"/>
    <w:rsid w:val="00C054A0"/>
    <w:rsid w:val="00C12391"/>
    <w:rsid w:val="00C21D98"/>
    <w:rsid w:val="00C25CD3"/>
    <w:rsid w:val="00C56ED6"/>
    <w:rsid w:val="00C71ACD"/>
    <w:rsid w:val="00C73BBD"/>
    <w:rsid w:val="00C869A8"/>
    <w:rsid w:val="00C92523"/>
    <w:rsid w:val="00CB532C"/>
    <w:rsid w:val="00CE1A70"/>
    <w:rsid w:val="00CE7F6B"/>
    <w:rsid w:val="00D13D12"/>
    <w:rsid w:val="00D47AE3"/>
    <w:rsid w:val="00D53E86"/>
    <w:rsid w:val="00D55DEF"/>
    <w:rsid w:val="00D65FD4"/>
    <w:rsid w:val="00D736F8"/>
    <w:rsid w:val="00D90EC1"/>
    <w:rsid w:val="00D96C81"/>
    <w:rsid w:val="00DB04C7"/>
    <w:rsid w:val="00DD0E6F"/>
    <w:rsid w:val="00DE03A6"/>
    <w:rsid w:val="00DE3206"/>
    <w:rsid w:val="00DE5376"/>
    <w:rsid w:val="00E00C8C"/>
    <w:rsid w:val="00E0206F"/>
    <w:rsid w:val="00E520E6"/>
    <w:rsid w:val="00E65C7D"/>
    <w:rsid w:val="00E661C8"/>
    <w:rsid w:val="00E82132"/>
    <w:rsid w:val="00E8348A"/>
    <w:rsid w:val="00EE7551"/>
    <w:rsid w:val="00EF20AA"/>
    <w:rsid w:val="00F1559C"/>
    <w:rsid w:val="00F21316"/>
    <w:rsid w:val="00F301D4"/>
    <w:rsid w:val="00F36E81"/>
    <w:rsid w:val="00F754DC"/>
    <w:rsid w:val="00F83DA8"/>
    <w:rsid w:val="00FA6AB1"/>
    <w:rsid w:val="00FB69AE"/>
    <w:rsid w:val="00FC2C96"/>
    <w:rsid w:val="00FD5D56"/>
    <w:rsid w:val="00FD68D5"/>
    <w:rsid w:val="00FE1360"/>
    <w:rsid w:val="00FF315D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125"/>
    <w:pPr>
      <w:jc w:val="both"/>
    </w:pPr>
    <w:rPr>
      <w:rFonts w:ascii="Arial" w:hAnsi="Arial"/>
      <w:szCs w:val="24"/>
      <w:lang w:val="de-DE" w:eastAsia="ko-K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aliases w:val="Footnote Reference Number,-E Fußnotenzeichen,(Diplomarbeit FZ),(Diplomarbeit FZ)1,(Diplomarbeit FZ)2,(Diplomarbeit FZ)3,(Diplomarbeit FZ)4,(Diplomarbeit FZ)5,(Diplomarbeit FZ)6,(Diplomarbeit FZ)7,(Diplomarbeit FZ)8,(Diplomarbeit FZ)9"/>
    <w:semiHidden/>
    <w:rsid w:val="005E4D4F"/>
    <w:rPr>
      <w:vertAlign w:val="superscript"/>
    </w:rPr>
  </w:style>
  <w:style w:type="paragraph" w:styleId="Title">
    <w:name w:val="Title"/>
    <w:basedOn w:val="Normal"/>
    <w:link w:val="TitleChar"/>
    <w:qFormat/>
    <w:rsid w:val="005E4D4F"/>
    <w:pPr>
      <w:pageBreakBefore/>
      <w:spacing w:before="120" w:after="120"/>
      <w:jc w:val="center"/>
    </w:pPr>
    <w:rPr>
      <w:b/>
      <w:snapToGrid w:val="0"/>
      <w:kern w:val="28"/>
      <w:sz w:val="32"/>
      <w:szCs w:val="20"/>
      <w:lang w:eastAsia="en-US"/>
    </w:rPr>
  </w:style>
  <w:style w:type="numbering" w:customStyle="1" w:styleId="Aufzhlung">
    <w:name w:val="Aufzählung"/>
    <w:basedOn w:val="NoList"/>
    <w:rsid w:val="00227125"/>
    <w:pPr>
      <w:numPr>
        <w:numId w:val="2"/>
      </w:numPr>
    </w:pPr>
  </w:style>
  <w:style w:type="paragraph" w:customStyle="1" w:styleId="Abbildungsbeschriftung">
    <w:name w:val="Abbildungsbeschriftung"/>
    <w:basedOn w:val="Normal"/>
    <w:rsid w:val="002946B8"/>
    <w:rPr>
      <w:i/>
      <w:iCs/>
    </w:rPr>
  </w:style>
  <w:style w:type="character" w:customStyle="1" w:styleId="TitleChar">
    <w:name w:val="Title Char"/>
    <w:link w:val="Title"/>
    <w:rsid w:val="005E4D4F"/>
    <w:rPr>
      <w:rFonts w:ascii="Arial" w:hAnsi="Arial"/>
      <w:b/>
      <w:snapToGrid w:val="0"/>
      <w:kern w:val="28"/>
      <w:sz w:val="32"/>
      <w:lang w:val="de-DE" w:eastAsia="en-US" w:bidi="ar-SA"/>
    </w:rPr>
  </w:style>
  <w:style w:type="paragraph" w:customStyle="1" w:styleId="Ueberschrift">
    <w:name w:val="Ueberschrift"/>
    <w:basedOn w:val="Normal"/>
    <w:link w:val="UeberschriftChar"/>
    <w:rsid w:val="00A07737"/>
    <w:pPr>
      <w:spacing w:before="120" w:after="120"/>
    </w:pPr>
    <w:rPr>
      <w:b/>
      <w:spacing w:val="-5"/>
      <w:sz w:val="22"/>
      <w:lang w:eastAsia="de-DE"/>
    </w:rPr>
  </w:style>
  <w:style w:type="character" w:styleId="CommentReference">
    <w:name w:val="annotation reference"/>
    <w:uiPriority w:val="99"/>
    <w:semiHidden/>
    <w:unhideWhenUsed/>
    <w:rsid w:val="00966C94"/>
    <w:rPr>
      <w:sz w:val="16"/>
      <w:szCs w:val="16"/>
    </w:rPr>
  </w:style>
  <w:style w:type="character" w:customStyle="1" w:styleId="UeberschriftChar">
    <w:name w:val="Ueberschrift Char"/>
    <w:link w:val="Ueberschrift"/>
    <w:rsid w:val="00A07737"/>
    <w:rPr>
      <w:rFonts w:ascii="Arial" w:hAnsi="Arial"/>
      <w:b/>
      <w:spacing w:val="-5"/>
      <w:sz w:val="22"/>
      <w:szCs w:val="24"/>
      <w:lang w:val="de-DE" w:eastAsia="de-DE" w:bidi="ar-SA"/>
    </w:rPr>
  </w:style>
  <w:style w:type="paragraph" w:customStyle="1" w:styleId="Abstract-Titel">
    <w:name w:val="Abstract-Titel"/>
    <w:basedOn w:val="Title"/>
    <w:rsid w:val="005E4D4F"/>
    <w:rPr>
      <w:rFonts w:cs="Arial"/>
    </w:rPr>
  </w:style>
  <w:style w:type="paragraph" w:customStyle="1" w:styleId="AutorenOrganisation">
    <w:name w:val="Autoren &amp; Organisation"/>
    <w:basedOn w:val="Normal"/>
    <w:rsid w:val="00010E92"/>
    <w:pPr>
      <w:tabs>
        <w:tab w:val="left" w:pos="1560"/>
      </w:tabs>
      <w:overflowPunct w:val="0"/>
      <w:autoSpaceDE w:val="0"/>
      <w:autoSpaceDN w:val="0"/>
      <w:adjustRightInd w:val="0"/>
      <w:jc w:val="center"/>
      <w:textAlignment w:val="baseline"/>
    </w:pPr>
    <w:rPr>
      <w:rFonts w:cs="Arial"/>
      <w:color w:val="181512"/>
      <w:spacing w:val="-5"/>
      <w:sz w:val="24"/>
      <w:lang w:val="de-AT" w:eastAsia="de-D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C94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966C94"/>
    <w:rPr>
      <w:rFonts w:ascii="Arial" w:hAnsi="Arial"/>
      <w:lang w:val="de-DE" w:eastAsia="ko-KR"/>
    </w:rPr>
  </w:style>
  <w:style w:type="paragraph" w:customStyle="1" w:styleId="Literatur">
    <w:name w:val="Literatur"/>
    <w:basedOn w:val="Normal"/>
    <w:rsid w:val="005E4D4F"/>
    <w:pPr>
      <w:ind w:left="284" w:hanging="284"/>
    </w:pPr>
    <w:rPr>
      <w:rFonts w:cs="Arial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C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66C94"/>
    <w:rPr>
      <w:rFonts w:ascii="Arial" w:hAnsi="Arial"/>
      <w:b/>
      <w:bCs/>
      <w:lang w:val="de-DE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6C94"/>
    <w:rPr>
      <w:rFonts w:ascii="Tahoma" w:hAnsi="Tahoma" w:cs="Tahoma"/>
      <w:sz w:val="16"/>
      <w:szCs w:val="16"/>
      <w:lang w:val="de-DE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125"/>
    <w:pPr>
      <w:jc w:val="both"/>
    </w:pPr>
    <w:rPr>
      <w:rFonts w:ascii="Arial" w:hAnsi="Arial"/>
      <w:szCs w:val="24"/>
      <w:lang w:val="de-DE" w:eastAsia="ko-K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aliases w:val="Footnote Reference Number,-E Fußnotenzeichen,(Diplomarbeit FZ),(Diplomarbeit FZ)1,(Diplomarbeit FZ)2,(Diplomarbeit FZ)3,(Diplomarbeit FZ)4,(Diplomarbeit FZ)5,(Diplomarbeit FZ)6,(Diplomarbeit FZ)7,(Diplomarbeit FZ)8,(Diplomarbeit FZ)9"/>
    <w:semiHidden/>
    <w:rsid w:val="005E4D4F"/>
    <w:rPr>
      <w:vertAlign w:val="superscript"/>
    </w:rPr>
  </w:style>
  <w:style w:type="paragraph" w:styleId="Title">
    <w:name w:val="Title"/>
    <w:basedOn w:val="Normal"/>
    <w:link w:val="TitleChar"/>
    <w:qFormat/>
    <w:rsid w:val="005E4D4F"/>
    <w:pPr>
      <w:pageBreakBefore/>
      <w:spacing w:before="120" w:after="120"/>
      <w:jc w:val="center"/>
    </w:pPr>
    <w:rPr>
      <w:b/>
      <w:snapToGrid w:val="0"/>
      <w:kern w:val="28"/>
      <w:sz w:val="32"/>
      <w:szCs w:val="20"/>
      <w:lang w:eastAsia="en-US"/>
    </w:rPr>
  </w:style>
  <w:style w:type="numbering" w:customStyle="1" w:styleId="Aufzhlung">
    <w:name w:val="Aufzählung"/>
    <w:basedOn w:val="NoList"/>
    <w:rsid w:val="00227125"/>
    <w:pPr>
      <w:numPr>
        <w:numId w:val="2"/>
      </w:numPr>
    </w:pPr>
  </w:style>
  <w:style w:type="paragraph" w:customStyle="1" w:styleId="Abbildungsbeschriftung">
    <w:name w:val="Abbildungsbeschriftung"/>
    <w:basedOn w:val="Normal"/>
    <w:rsid w:val="002946B8"/>
    <w:rPr>
      <w:i/>
      <w:iCs/>
    </w:rPr>
  </w:style>
  <w:style w:type="character" w:customStyle="1" w:styleId="TitleChar">
    <w:name w:val="Title Char"/>
    <w:link w:val="Title"/>
    <w:rsid w:val="005E4D4F"/>
    <w:rPr>
      <w:rFonts w:ascii="Arial" w:hAnsi="Arial"/>
      <w:b/>
      <w:snapToGrid w:val="0"/>
      <w:kern w:val="28"/>
      <w:sz w:val="32"/>
      <w:lang w:val="de-DE" w:eastAsia="en-US" w:bidi="ar-SA"/>
    </w:rPr>
  </w:style>
  <w:style w:type="paragraph" w:customStyle="1" w:styleId="Ueberschrift">
    <w:name w:val="Ueberschrift"/>
    <w:basedOn w:val="Normal"/>
    <w:link w:val="UeberschriftChar"/>
    <w:rsid w:val="00A07737"/>
    <w:pPr>
      <w:spacing w:before="120" w:after="120"/>
    </w:pPr>
    <w:rPr>
      <w:b/>
      <w:spacing w:val="-5"/>
      <w:sz w:val="22"/>
      <w:lang w:eastAsia="de-DE"/>
    </w:rPr>
  </w:style>
  <w:style w:type="character" w:styleId="CommentReference">
    <w:name w:val="annotation reference"/>
    <w:uiPriority w:val="99"/>
    <w:semiHidden/>
    <w:unhideWhenUsed/>
    <w:rsid w:val="00966C94"/>
    <w:rPr>
      <w:sz w:val="16"/>
      <w:szCs w:val="16"/>
    </w:rPr>
  </w:style>
  <w:style w:type="character" w:customStyle="1" w:styleId="UeberschriftChar">
    <w:name w:val="Ueberschrift Char"/>
    <w:link w:val="Ueberschrift"/>
    <w:rsid w:val="00A07737"/>
    <w:rPr>
      <w:rFonts w:ascii="Arial" w:hAnsi="Arial"/>
      <w:b/>
      <w:spacing w:val="-5"/>
      <w:sz w:val="22"/>
      <w:szCs w:val="24"/>
      <w:lang w:val="de-DE" w:eastAsia="de-DE" w:bidi="ar-SA"/>
    </w:rPr>
  </w:style>
  <w:style w:type="paragraph" w:customStyle="1" w:styleId="Abstract-Titel">
    <w:name w:val="Abstract-Titel"/>
    <w:basedOn w:val="Title"/>
    <w:rsid w:val="005E4D4F"/>
    <w:rPr>
      <w:rFonts w:cs="Arial"/>
    </w:rPr>
  </w:style>
  <w:style w:type="paragraph" w:customStyle="1" w:styleId="AutorenOrganisation">
    <w:name w:val="Autoren &amp; Organisation"/>
    <w:basedOn w:val="Normal"/>
    <w:rsid w:val="00010E92"/>
    <w:pPr>
      <w:tabs>
        <w:tab w:val="left" w:pos="1560"/>
      </w:tabs>
      <w:overflowPunct w:val="0"/>
      <w:autoSpaceDE w:val="0"/>
      <w:autoSpaceDN w:val="0"/>
      <w:adjustRightInd w:val="0"/>
      <w:jc w:val="center"/>
      <w:textAlignment w:val="baseline"/>
    </w:pPr>
    <w:rPr>
      <w:rFonts w:cs="Arial"/>
      <w:color w:val="181512"/>
      <w:spacing w:val="-5"/>
      <w:sz w:val="24"/>
      <w:lang w:val="de-AT" w:eastAsia="de-D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C94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966C94"/>
    <w:rPr>
      <w:rFonts w:ascii="Arial" w:hAnsi="Arial"/>
      <w:lang w:val="de-DE" w:eastAsia="ko-KR"/>
    </w:rPr>
  </w:style>
  <w:style w:type="paragraph" w:customStyle="1" w:styleId="Literatur">
    <w:name w:val="Literatur"/>
    <w:basedOn w:val="Normal"/>
    <w:rsid w:val="005E4D4F"/>
    <w:pPr>
      <w:ind w:left="284" w:hanging="284"/>
    </w:pPr>
    <w:rPr>
      <w:rFonts w:cs="Arial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C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66C94"/>
    <w:rPr>
      <w:rFonts w:ascii="Arial" w:hAnsi="Arial"/>
      <w:b/>
      <w:bCs/>
      <w:lang w:val="de-DE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6C94"/>
    <w:rPr>
      <w:rFonts w:ascii="Tahoma" w:hAnsi="Tahoma" w:cs="Tahoma"/>
      <w:sz w:val="16"/>
      <w:szCs w:val="16"/>
      <w:lang w:val="de-DE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8442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635</Words>
  <Characters>4004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TU-Wien Campuslizenz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Gerald</dc:creator>
  <cp:lastModifiedBy>e-think</cp:lastModifiedBy>
  <cp:revision>2</cp:revision>
  <dcterms:created xsi:type="dcterms:W3CDTF">2018-11-13T07:47:00Z</dcterms:created>
  <dcterms:modified xsi:type="dcterms:W3CDTF">2018-11-13T07:47:00Z</dcterms:modified>
</cp:coreProperties>
</file>