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4F" w:rsidRPr="005E4D4F" w:rsidRDefault="00631945" w:rsidP="005E4D4F">
      <w:pPr>
        <w:pStyle w:val="Abstract-Titel"/>
      </w:pPr>
      <w:r>
        <w:t>Wirk- und Blindleistungsgenaue Modellierung von reduzierten Netzen im zellularen Ansatz</w:t>
      </w:r>
    </w:p>
    <w:p w:rsidR="00BF05FA" w:rsidRPr="00351947" w:rsidRDefault="00631945" w:rsidP="00A156E4">
      <w:pPr>
        <w:pStyle w:val="AutorenOrganisation"/>
        <w:rPr>
          <w:color w:val="auto"/>
        </w:rPr>
      </w:pPr>
      <w:r w:rsidRPr="00351947">
        <w:rPr>
          <w:color w:val="auto"/>
        </w:rPr>
        <w:t>Integrierte</w:t>
      </w:r>
      <w:r w:rsidR="00351947" w:rsidRPr="00351947">
        <w:rPr>
          <w:color w:val="auto"/>
        </w:rPr>
        <w:t xml:space="preserve"> Netze der Zukunft (3)</w:t>
      </w:r>
    </w:p>
    <w:p w:rsidR="00631945" w:rsidRPr="005E4D4F" w:rsidRDefault="00631945" w:rsidP="00631945">
      <w:pPr>
        <w:pStyle w:val="AutorenOrganisation"/>
      </w:pPr>
      <w:r>
        <w:t>Anna TRAUPMANN</w:t>
      </w:r>
      <w:r w:rsidRPr="00010E92">
        <w:rPr>
          <w:vertAlign w:val="superscript"/>
        </w:rPr>
        <w:footnoteReference w:id="1"/>
      </w:r>
      <w:r w:rsidRPr="00A156E4">
        <w:rPr>
          <w:vertAlign w:val="superscript"/>
        </w:rPr>
        <w:t>(1</w:t>
      </w:r>
      <w:r>
        <w:rPr>
          <w:vertAlign w:val="superscript"/>
        </w:rPr>
        <w:t>)</w:t>
      </w:r>
      <w:r w:rsidRPr="005E4D4F">
        <w:t xml:space="preserve">, </w:t>
      </w:r>
      <w:r>
        <w:t>Julia VOPAVA</w:t>
      </w:r>
      <w:r>
        <w:rPr>
          <w:vertAlign w:val="superscript"/>
        </w:rPr>
        <w:t>(1)</w:t>
      </w:r>
      <w:r>
        <w:t>, Thomas KIENBERGER</w:t>
      </w:r>
      <w:r>
        <w:rPr>
          <w:vertAlign w:val="superscript"/>
        </w:rPr>
        <w:t>(1)</w:t>
      </w:r>
    </w:p>
    <w:p w:rsidR="00631945" w:rsidRDefault="00631945" w:rsidP="00631945">
      <w:pPr>
        <w:pStyle w:val="AutorenOrganisation"/>
      </w:pPr>
      <w:r>
        <w:rPr>
          <w:vertAlign w:val="superscript"/>
        </w:rPr>
        <w:t>(</w:t>
      </w:r>
      <w:r w:rsidRPr="00010E92">
        <w:rPr>
          <w:vertAlign w:val="superscript"/>
        </w:rPr>
        <w:t>1</w:t>
      </w:r>
      <w:r>
        <w:rPr>
          <w:vertAlign w:val="superscript"/>
        </w:rPr>
        <w:t xml:space="preserve">) </w:t>
      </w:r>
      <w:r>
        <w:t>Montanuniversität Leoben, Lehrstuhl für Energieverbundtechnik</w:t>
      </w:r>
    </w:p>
    <w:p w:rsidR="00A07737" w:rsidRPr="005E4D4F" w:rsidRDefault="00A07737" w:rsidP="00FB69AE">
      <w:pPr>
        <w:rPr>
          <w:lang w:val="de-AT"/>
        </w:rPr>
      </w:pPr>
    </w:p>
    <w:p w:rsidR="005E4D4F" w:rsidRPr="005E4D4F" w:rsidRDefault="005E4D4F" w:rsidP="005E4D4F">
      <w:pPr>
        <w:pStyle w:val="Ueberschrift"/>
      </w:pPr>
      <w:r w:rsidRPr="005E4D4F">
        <w:t>Motivation und zentrale Fragestellung</w:t>
      </w:r>
    </w:p>
    <w:p w:rsidR="00227125" w:rsidRDefault="00631945" w:rsidP="00631945">
      <w:r>
        <w:t>Für die Erreichung der angestrebten „2050“-Ziele hinsichtlich Reduktion von Treibhausgasemissionen und Einsparung von Endenergie sind maßgebliche, strukturelle Veränderungen zukünftiger Energiesysteme notwendig. Die g</w:t>
      </w:r>
      <w:r w:rsidR="009C29F2">
        <w:t>rößten Schwierigke</w:t>
      </w:r>
      <w:r w:rsidR="00857D0F">
        <w:t>ite</w:t>
      </w:r>
      <w:r w:rsidR="003A7534">
        <w:t>n dieser Umstellung sind</w:t>
      </w:r>
      <w:r w:rsidR="009C29F2">
        <w:t xml:space="preserve"> im</w:t>
      </w:r>
      <w:r>
        <w:t xml:space="preserve"> elektrische</w:t>
      </w:r>
      <w:r w:rsidR="009C29F2">
        <w:t>n Netz</w:t>
      </w:r>
      <w:r w:rsidR="003A7534">
        <w:t xml:space="preserve"> vorhanden</w:t>
      </w:r>
      <w:r>
        <w:t xml:space="preserve">. Die Übertragungs- und Verteilsysteme stehen durch den unumgänglich wachsenden Anteil der Stromproduktion aus volatilen, erneuerbaren Energien sowie der zunehmenden Elektromobilität vor </w:t>
      </w:r>
      <w:r w:rsidRPr="009C29F2">
        <w:t>großen Herausforderungen. Die Umgestaltung in Richtung Erneuerbare bedingt die Entwicklung neuer</w:t>
      </w:r>
      <w:r>
        <w:t xml:space="preserve"> Planungs- und Betriebssteuerungstools, welche sowohl eine zeitliche als auch örtliche Auflösung vorliegender und zukünftiger Erzeuger- und Verbraucherstruktu</w:t>
      </w:r>
      <w:r w:rsidR="009C29F2">
        <w:t>ren erfordern. [1]</w:t>
      </w:r>
    </w:p>
    <w:p w:rsidR="005E4D4F" w:rsidRPr="005E4D4F" w:rsidRDefault="00631945" w:rsidP="00227125">
      <w:r>
        <w:t xml:space="preserve">Diese Arbeit behandelt in diesem Zusammenhang die Modellierung elektrischer Netze im zellularen Ansatz. Über unterschiedliche Netzreduktionsmethoden wird </w:t>
      </w:r>
      <w:r w:rsidR="003A7534">
        <w:t>versucht, vereinfachte</w:t>
      </w:r>
      <w:r>
        <w:t xml:space="preserve"> Netzabbildungen so zu modellieren, dass ihr Wirk-</w:t>
      </w:r>
      <w:r w:rsidR="003A7534">
        <w:t xml:space="preserve"> und Blindleistungsverhalten jenem</w:t>
      </w:r>
      <w:r>
        <w:t xml:space="preserve"> des originalen Netzes entspricht. </w:t>
      </w:r>
    </w:p>
    <w:p w:rsidR="005E4D4F" w:rsidRPr="005E4D4F" w:rsidRDefault="005E4D4F" w:rsidP="005E4D4F">
      <w:pPr>
        <w:pStyle w:val="Ueberschrift"/>
      </w:pPr>
      <w:r w:rsidRPr="005E4D4F">
        <w:t>Methodische Vorgangsweise</w:t>
      </w:r>
    </w:p>
    <w:p w:rsidR="005E4D4F" w:rsidRDefault="00631945" w:rsidP="00227125">
      <w:r>
        <w:t>Der zellulare Ansatz ermöglicht die Berechnung eines energieträgerübergreifenden Energieausgleichs. Die Einzelzelle stellt dabei die unterste Ebene dar, auf der ein Leistungsausgleich erfolgen kann. Zwischen den Zellen ergeben sich</w:t>
      </w:r>
      <w:r w:rsidR="009C29F2">
        <w:t xml:space="preserve"> Lastflüsse, die möglichst j</w:t>
      </w:r>
      <w:r w:rsidR="00503E90">
        <w:t>enen, der realen Netzstrukturen entsprechen sollen. Die aus dem Zellenmodell gewonnenen Informationen ermöglichen die Identifikation jener Zellen, in denen Lastüber- bzw. Lastu</w:t>
      </w:r>
      <w:r w:rsidR="00F3683B">
        <w:t>nterdeckungen auftreten, was einer</w:t>
      </w:r>
      <w:r w:rsidR="00503E90">
        <w:t xml:space="preserve"> entsprechenden Allokation hybrider Flexibilisierungstechn</w:t>
      </w:r>
      <w:r w:rsidR="00572E3D">
        <w:t>ologien bzw. Speichern dient. [2</w:t>
      </w:r>
      <w:r w:rsidR="00503E90">
        <w:t>]</w:t>
      </w:r>
    </w:p>
    <w:p w:rsidR="00503E90" w:rsidRDefault="00503E90" w:rsidP="00227125">
      <w:r>
        <w:t>Bei der Modellierung ist es notwendig jede Energiezelle durch einen repräsentativen Parametersatz a</w:t>
      </w:r>
      <w:r w:rsidR="00572E3D">
        <w:t>bzubilden.</w:t>
      </w:r>
      <w:r>
        <w:t xml:space="preserve"> Zu diesen Zellenparametern zählen </w:t>
      </w:r>
      <w:r w:rsidRPr="009C29F2">
        <w:t xml:space="preserve">ein aggregierter Zellenknoten </w:t>
      </w:r>
      <w:r>
        <w:t>und die entsprechenden Verbindungsleitung</w:t>
      </w:r>
      <w:r w:rsidR="00F3683B">
        <w:t xml:space="preserve">en zu anderen Zellen. Je nach Verwendungszweck des </w:t>
      </w:r>
      <w:r>
        <w:t>zu modellierenden, elektrischen Ersatznetz</w:t>
      </w:r>
      <w:r w:rsidR="00F3683B">
        <w:t>es</w:t>
      </w:r>
      <w:r>
        <w:t xml:space="preserve"> sind nun spezifische, aus der Literatur bekannte </w:t>
      </w:r>
      <w:r w:rsidR="00167FDE">
        <w:t>Netzreduktionsmethoden geeignet:</w:t>
      </w:r>
      <w:r>
        <w:t xml:space="preserve"> </w:t>
      </w:r>
      <w:r w:rsidR="00F3683B">
        <w:t>Zur Erstellung des Modellnetzes im zellularen Ansatz</w:t>
      </w:r>
      <w:r>
        <w:t xml:space="preserve"> werden in dieser Arbeit die REI-Methode, die Ward-</w:t>
      </w:r>
      <w:proofErr w:type="spellStart"/>
      <w:r>
        <w:t>injection</w:t>
      </w:r>
      <w:proofErr w:type="spellEnd"/>
      <w:r>
        <w:t>-</w:t>
      </w:r>
      <w:proofErr w:type="spellStart"/>
      <w:r>
        <w:t>method</w:t>
      </w:r>
      <w:proofErr w:type="spellEnd"/>
      <w:r>
        <w:t xml:space="preserve"> und die Ward</w:t>
      </w:r>
      <w:r w:rsidR="009C29F2">
        <w:t>-</w:t>
      </w:r>
      <w:proofErr w:type="spellStart"/>
      <w:r w:rsidR="00572E3D">
        <w:t>admittance</w:t>
      </w:r>
      <w:proofErr w:type="spellEnd"/>
      <w:r w:rsidR="00572E3D">
        <w:t>-</w:t>
      </w:r>
      <w:proofErr w:type="spellStart"/>
      <w:r w:rsidR="00572E3D">
        <w:t>method</w:t>
      </w:r>
      <w:proofErr w:type="spellEnd"/>
      <w:r w:rsidR="00572E3D">
        <w:t xml:space="preserve"> untersucht. [3] [4</w:t>
      </w:r>
      <w:r>
        <w:t>] Voraussetzungen der Ersatznetzbildung sind die Ergebnisse einer zuvor durchgeführten, vollständigen Lastflussrechnung des Originals sowie die Kenngrößen der darin vorhandenen Betriebsmittel (Längs- und Querimpedanzen), die Netztopologie und die gewählte Zelleneinteilung</w:t>
      </w:r>
      <w:r w:rsidRPr="009C29F2">
        <w:t xml:space="preserve">. </w:t>
      </w:r>
    </w:p>
    <w:p w:rsidR="00503E90" w:rsidRDefault="00503E90" w:rsidP="00110799">
      <w:r>
        <w:t xml:space="preserve">Zur systematischen Reduktion sind die topologischen </w:t>
      </w:r>
      <w:r w:rsidR="0060118B">
        <w:t xml:space="preserve">Informationen und die Betriebsmittelkenngrößen zunächst in die </w:t>
      </w:r>
      <w:proofErr w:type="spellStart"/>
      <w:r w:rsidR="0060118B">
        <w:t>Knotenadmittanzmatrix</w:t>
      </w:r>
      <w:proofErr w:type="spellEnd"/>
      <w:r w:rsidR="0060118B">
        <w:t xml:space="preserve">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Y</m:t>
            </m:r>
          </m:e>
        </m:bar>
      </m:oMath>
      <w:r w:rsidR="0060118B">
        <w:t xml:space="preserve"> zu bringen. Sie setzt Knotenspannungen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U</m:t>
            </m:r>
          </m:e>
        </m:bar>
      </m:oMath>
      <w:r w:rsidR="009C29F2">
        <w:t xml:space="preserve"> </w:t>
      </w:r>
      <w:r w:rsidR="00F3683B">
        <w:t>und Knotenströme 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I</m:t>
            </m:r>
          </m:e>
        </m:bar>
      </m:oMath>
      <w:r w:rsidR="009C29F2">
        <w:t xml:space="preserve"> </w:t>
      </w:r>
      <w:r w:rsidR="0060118B">
        <w:t xml:space="preserve">in Beziehung (siehe Formel 1). Die Reduktion erfolgt direkt über das </w:t>
      </w:r>
      <w:proofErr w:type="spellStart"/>
      <w:r w:rsidR="0060118B">
        <w:t>Gauss´sche</w:t>
      </w:r>
      <w:proofErr w:type="spellEnd"/>
      <w:r w:rsidR="0060118B">
        <w:t xml:space="preserve"> Eliminationsverfahren, aus dem, über die jeweilige Netzreduktionsmethode, die </w:t>
      </w:r>
      <w:r w:rsidR="00F3683B">
        <w:t xml:space="preserve">zugehörigen, </w:t>
      </w:r>
      <w:r w:rsidR="0060118B">
        <w:t>modifizierten Leitungsparameter erhalten w</w:t>
      </w:r>
      <w:r w:rsidR="00F3683B">
        <w:t>erden. Das genaue Vorgehen</w:t>
      </w:r>
      <w:r w:rsidR="0060118B">
        <w:t xml:space="preserve"> wird in der Langversion der Arbeit beschrieben. </w:t>
      </w:r>
    </w:p>
    <w:p w:rsidR="002544B7" w:rsidRDefault="00F41344" w:rsidP="00227125">
      <m:oMathPara>
        <m:oMath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Y</m:t>
              </m:r>
            </m:e>
          </m:bar>
          <m:r>
            <w:rPr>
              <w:rFonts w:ascii="Cambria Math" w:hAnsi="Cambria Math"/>
            </w:rPr>
            <m:t>∙</m:t>
          </m:r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U</m:t>
              </m:r>
            </m:e>
          </m:bar>
          <m:r>
            <w:rPr>
              <w:rFonts w:ascii="Cambria Math" w:hAnsi="Cambria Math"/>
            </w:rPr>
            <m:t>=</m:t>
          </m:r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I</m:t>
              </m:r>
            </m:e>
          </m:bar>
          <m:r>
            <w:rPr>
              <w:rFonts w:ascii="Cambria Math" w:hAnsi="Cambria Math"/>
            </w:rPr>
            <m:t xml:space="preserve">    →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00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b>
                        </m:sSub>
                      </m:e>
                    </m:mr>
                  </m:m>
                </m:num>
                <m:den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n0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n1</m:t>
                            </m:r>
                          </m:sub>
                        </m:sSub>
                      </m:e>
                    </m:mr>
                  </m:m>
                </m:den>
              </m:f>
              <m:r>
                <w:rPr>
                  <w:rFonts w:ascii="Cambria Math" w:hAnsi="Cambria Math"/>
                </w:rPr>
                <m:t xml:space="preserve">   </m:t>
              </m:r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0n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1n</m:t>
                            </m:r>
                          </m:sub>
                        </m:sSub>
                      </m:e>
                    </m:mr>
                  </m:m>
                </m:num>
                <m:den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nn</m:t>
                            </m:r>
                          </m:sub>
                        </m:sSub>
                      </m:e>
                    </m:mr>
                  </m:m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U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U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…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U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…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</m:oMath>
      </m:oMathPara>
    </w:p>
    <w:p w:rsidR="005E4D4F" w:rsidRPr="002544B7" w:rsidRDefault="002544B7" w:rsidP="00227125">
      <w:pPr>
        <w:rPr>
          <w:i/>
        </w:rPr>
      </w:pPr>
      <w:r w:rsidRPr="002544B7">
        <w:rPr>
          <w:i/>
        </w:rPr>
        <w:t>Formel 1: Knotengleichungssystem</w:t>
      </w:r>
      <w:r>
        <w:rPr>
          <w:i/>
        </w:rPr>
        <w:t xml:space="preserve"> vor der Reduktion in Matrizenschreibweise</w:t>
      </w:r>
    </w:p>
    <w:p w:rsidR="005E4D4F" w:rsidRPr="005E4D4F" w:rsidRDefault="005E4D4F" w:rsidP="005E4D4F">
      <w:pPr>
        <w:pStyle w:val="Ueberschrift"/>
      </w:pPr>
      <w:r w:rsidRPr="005E4D4F">
        <w:t>Ergebnisse und Schlussfolgerungen</w:t>
      </w:r>
    </w:p>
    <w:p w:rsidR="005E4D4F" w:rsidRDefault="0060118B" w:rsidP="00227125">
      <w:r>
        <w:t xml:space="preserve">In der Arbeit wird zunächst gezeigt, </w:t>
      </w:r>
      <w:r w:rsidR="00BD628B">
        <w:t>dass für jede der drei klassischen Methoden (REI-Methode, Ward-</w:t>
      </w:r>
      <w:proofErr w:type="spellStart"/>
      <w:r w:rsidR="00BD628B">
        <w:t>injection</w:t>
      </w:r>
      <w:proofErr w:type="spellEnd"/>
      <w:r w:rsidR="00BD628B">
        <w:t>- und Ward-</w:t>
      </w:r>
      <w:proofErr w:type="spellStart"/>
      <w:r w:rsidR="00BD628B">
        <w:t>admittance</w:t>
      </w:r>
      <w:proofErr w:type="spellEnd"/>
      <w:r w:rsidR="00BD628B">
        <w:t>-</w:t>
      </w:r>
      <w:proofErr w:type="spellStart"/>
      <w:r w:rsidR="00BD628B">
        <w:t>method</w:t>
      </w:r>
      <w:proofErr w:type="spellEnd"/>
      <w:r w:rsidR="00BD628B">
        <w:t>) bei der Netzreduktion unzulässige Informationsverluste entstehen. Aus diesem Grund wird eine modifizierte Vorgehensweise in Anlehnung an die</w:t>
      </w:r>
      <w:r w:rsidR="00D27C83">
        <w:t>se</w:t>
      </w:r>
      <w:r w:rsidR="00BD628B">
        <w:t xml:space="preserve"> klassischen Methoden zur Modellierung vorgestellt. </w:t>
      </w:r>
    </w:p>
    <w:p w:rsidR="00BD628B" w:rsidRDefault="00BD628B" w:rsidP="00227125">
      <w:r>
        <w:t>Entsprechend der Literatur [</w:t>
      </w:r>
      <w:r w:rsidR="00572E3D">
        <w:t>4</w:t>
      </w:r>
      <w:r>
        <w:t>]</w:t>
      </w:r>
      <w:r w:rsidR="00572E3D">
        <w:t xml:space="preserve"> [5]</w:t>
      </w:r>
      <w:r>
        <w:t xml:space="preserve"> entstehen bei den klassischen Methoden vor allem hinsichtlich d</w:t>
      </w:r>
      <w:r w:rsidR="00D27C83">
        <w:t>er Blindleistungsflüsse bzw.</w:t>
      </w:r>
      <w:r>
        <w:t xml:space="preserve"> Blindleistungsverluste erhebliche Abbildungsungenauigkeiten. Dies </w:t>
      </w:r>
      <w:r>
        <w:lastRenderedPageBreak/>
        <w:t xml:space="preserve">begründet sich dadurch, dass Verbindungsleitungen </w:t>
      </w:r>
      <w:r w:rsidR="00572E3D">
        <w:t xml:space="preserve">nach der Reduktion </w:t>
      </w:r>
      <w:r>
        <w:t>ausschließlich durch ihre Längsimpedanz abgebildet werden. Die Wirkleistungsflüsse können jedoch auch über die klassischen Methoden mit ausrei</w:t>
      </w:r>
      <w:r w:rsidR="004427A0">
        <w:t>chender Genauigkeit erfasst</w:t>
      </w:r>
      <w:r>
        <w:t xml:space="preserve"> werden. Die mod</w:t>
      </w:r>
      <w:r w:rsidR="00CE5F2A">
        <w:t>ifizierte Methode (in Abbildung 1 und </w:t>
      </w:r>
      <w:r>
        <w:t>2 als „LM“ bezeichnet) ermöglicht im Gegensatz zu den klassischen Methoden zusätzlich die Bestimmung der Querimpedanz der Verbindungsleitungen. Dies ermöglicht eine verbesserte Abbildung</w:t>
      </w:r>
      <w:r w:rsidR="004427A0">
        <w:t>,</w:t>
      </w:r>
      <w:r>
        <w:t xml:space="preserve"> insbesondere der Blindleistungsverhältnisse. </w:t>
      </w:r>
    </w:p>
    <w:p w:rsidR="005E4D4F" w:rsidRDefault="00110799" w:rsidP="00227125">
      <w:r w:rsidRPr="002544B7">
        <w:rPr>
          <w:i/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83FC967" wp14:editId="021E3828">
            <wp:simplePos x="0" y="0"/>
            <wp:positionH relativeFrom="column">
              <wp:posOffset>3065145</wp:posOffset>
            </wp:positionH>
            <wp:positionV relativeFrom="paragraph">
              <wp:posOffset>1114425</wp:posOffset>
            </wp:positionV>
            <wp:extent cx="269113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406" y="21338"/>
                <wp:lineTo x="21406" y="0"/>
                <wp:lineTo x="0" y="0"/>
              </wp:wrapPolygon>
            </wp:wrapTight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8B">
        <w:t>Ein Vergleich der Originalleitung mit der Ersatzleitung ist jedoch auch bei Anwendung der modifizierten Vorgehensw</w:t>
      </w:r>
      <w:r>
        <w:t>eise zunächst nicht möglich. Da</w:t>
      </w:r>
      <w:r w:rsidR="00BD628B">
        <w:t xml:space="preserve">s begründet sich dadurch, dass </w:t>
      </w:r>
      <w:r w:rsidR="00572E3D">
        <w:t xml:space="preserve">die </w:t>
      </w:r>
      <w:r w:rsidR="00BD628B">
        <w:t>Leitungsverluste der im Originalnetz in</w:t>
      </w:r>
      <w:r w:rsidR="00572E3D">
        <w:t xml:space="preserve">nerhalb der Zellen vorhandenen, elektrischen </w:t>
      </w:r>
      <w:r w:rsidR="00BD628B">
        <w:t>Leitungen</w:t>
      </w:r>
      <w:r w:rsidR="004D2865">
        <w:t xml:space="preserve"> anteilsmäßig auf die Verbindungsleitungen aufgeteilt werden. Aufgrund diese</w:t>
      </w:r>
      <w:r>
        <w:t>r gewichteten</w:t>
      </w:r>
      <w:r w:rsidR="004427A0">
        <w:t xml:space="preserve"> Aufteilung können</w:t>
      </w:r>
      <w:r>
        <w:t xml:space="preserve"> nun</w:t>
      </w:r>
      <w:r w:rsidR="004D2865">
        <w:t xml:space="preserve"> </w:t>
      </w:r>
      <w:r w:rsidR="004427A0">
        <w:t xml:space="preserve">die </w:t>
      </w:r>
      <w:r w:rsidR="004D2865">
        <w:t>Wirk- und Blindleistungsgesamtbilanz i</w:t>
      </w:r>
      <w:r w:rsidR="00CE5F2A">
        <w:t xml:space="preserve">m </w:t>
      </w:r>
      <w:proofErr w:type="spellStart"/>
      <w:r w:rsidR="00CE5F2A">
        <w:t>Slack</w:t>
      </w:r>
      <w:proofErr w:type="spellEnd"/>
      <w:r w:rsidR="00CE5F2A">
        <w:t>-Knoten (siehe Abbildung </w:t>
      </w:r>
      <w:r w:rsidR="004D2865">
        <w:t>1) sowie jene de</w:t>
      </w:r>
      <w:r w:rsidR="00CE5F2A">
        <w:t>r Einzelzellen (siehe Abbildung </w:t>
      </w:r>
      <w:r w:rsidR="004D2865">
        <w:t>2) mit vernachlässigbaren Abweichu</w:t>
      </w:r>
      <w:r>
        <w:t>ngen erfüllt</w:t>
      </w:r>
      <w:r w:rsidR="004427A0">
        <w:t xml:space="preserve"> und das elektrische Verhalten nachgebildet werden</w:t>
      </w:r>
      <w:r w:rsidR="004D2865">
        <w:t xml:space="preserve">. </w:t>
      </w:r>
    </w:p>
    <w:p w:rsidR="00803917" w:rsidRPr="002544B7" w:rsidRDefault="00351947" w:rsidP="002544B7">
      <w:pPr>
        <w:rPr>
          <w:i/>
        </w:rPr>
      </w:pPr>
      <w:bookmarkStart w:id="0" w:name="_GoBack"/>
      <w:bookmarkEnd w:id="0"/>
      <w:r w:rsidRPr="002544B7">
        <w:rPr>
          <w:i/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 wp14:anchorId="70D00C69" wp14:editId="78791040">
            <wp:simplePos x="0" y="0"/>
            <wp:positionH relativeFrom="margin">
              <wp:posOffset>3069590</wp:posOffset>
            </wp:positionH>
            <wp:positionV relativeFrom="paragraph">
              <wp:posOffset>2127679</wp:posOffset>
            </wp:positionV>
            <wp:extent cx="269113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406" y="21338"/>
                <wp:lineTo x="21406" y="0"/>
                <wp:lineTo x="0" y="0"/>
              </wp:wrapPolygon>
            </wp:wrapTight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D0F">
        <w:rPr>
          <w:noProof/>
          <w:lang w:val="de-AT" w:eastAsia="de-AT"/>
        </w:rPr>
        <w:drawing>
          <wp:anchor distT="0" distB="0" distL="114300" distR="114300" simplePos="0" relativeHeight="251662336" behindDoc="1" locked="0" layoutInCell="1" allowOverlap="1" wp14:anchorId="1302B134" wp14:editId="6954DC99">
            <wp:simplePos x="0" y="0"/>
            <wp:positionH relativeFrom="margin">
              <wp:align>left</wp:align>
            </wp:positionH>
            <wp:positionV relativeFrom="paragraph">
              <wp:posOffset>2122805</wp:posOffset>
            </wp:positionV>
            <wp:extent cx="2669016" cy="1620000"/>
            <wp:effectExtent l="0" t="0" r="0" b="0"/>
            <wp:wrapTight wrapText="bothSides">
              <wp:wrapPolygon edited="0">
                <wp:start x="0" y="0"/>
                <wp:lineTo x="0" y="21338"/>
                <wp:lineTo x="21430" y="21338"/>
                <wp:lineTo x="2143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" b="381"/>
                    <a:stretch/>
                  </pic:blipFill>
                  <pic:spPr bwMode="auto">
                    <a:xfrm>
                      <a:off x="0" y="0"/>
                      <a:ext cx="2669016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4B7" w:rsidRPr="002544B7">
        <w:rPr>
          <w:i/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4FD22E1B" wp14:editId="4D3FA3AA">
            <wp:simplePos x="0" y="0"/>
            <wp:positionH relativeFrom="column">
              <wp:posOffset>-15875</wp:posOffset>
            </wp:positionH>
            <wp:positionV relativeFrom="paragraph">
              <wp:posOffset>92075</wp:posOffset>
            </wp:positionV>
            <wp:extent cx="269113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406" y="21338"/>
                <wp:lineTo x="21406" y="0"/>
                <wp:lineTo x="0" y="0"/>
              </wp:wrapPolygon>
            </wp:wrapTight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917" w:rsidRPr="002544B7">
        <w:rPr>
          <w:i/>
        </w:rPr>
        <w:t xml:space="preserve">Abbildung 1: </w:t>
      </w:r>
      <w:r w:rsidR="00AC0A2C" w:rsidRPr="002544B7">
        <w:rPr>
          <w:i/>
        </w:rPr>
        <w:t xml:space="preserve">Absolute und relative Abweichungen in der Gesamtbilanz der Wirk- und Blindleistungseinspeisungen im </w:t>
      </w:r>
      <w:proofErr w:type="spellStart"/>
      <w:r w:rsidR="00AC0A2C" w:rsidRPr="002544B7">
        <w:rPr>
          <w:i/>
        </w:rPr>
        <w:t>Slack</w:t>
      </w:r>
      <w:proofErr w:type="spellEnd"/>
      <w:r w:rsidR="00AC0A2C" w:rsidRPr="002544B7">
        <w:rPr>
          <w:i/>
        </w:rPr>
        <w:t>-Knoten</w:t>
      </w:r>
    </w:p>
    <w:p w:rsidR="00AC0A2C" w:rsidRPr="002544B7" w:rsidRDefault="00AC0A2C" w:rsidP="002544B7">
      <w:pPr>
        <w:spacing w:after="240"/>
        <w:rPr>
          <w:i/>
        </w:rPr>
      </w:pPr>
      <w:r w:rsidRPr="002544B7">
        <w:rPr>
          <w:i/>
        </w:rPr>
        <w:t>Abbildung 2: Absolute und relative Abweichung in der Gesamtbilanz der Wirk- und Blindleistungsverluste des Gesamtnetzes</w:t>
      </w:r>
    </w:p>
    <w:p w:rsidR="004D2865" w:rsidRPr="00803917" w:rsidRDefault="004D2865" w:rsidP="00227125">
      <w:r>
        <w:t>Für das Zellenmodell müssen jedoch in weiterer Folge auch die interzellularen Lastflüsse jen</w:t>
      </w:r>
      <w:r w:rsidR="00BD7596">
        <w:t>en des Originalnetzes korrekt ab</w:t>
      </w:r>
      <w:r w:rsidR="006C7978">
        <w:t>gebildet werden. Hinsichtlich dessen so</w:t>
      </w:r>
      <w:r w:rsidR="00CE5F2A">
        <w:t>ll</w:t>
      </w:r>
      <w:r w:rsidR="006C7978">
        <w:t xml:space="preserve"> versucht werden</w:t>
      </w:r>
      <w:r w:rsidR="00CE5F2A">
        <w:t>,</w:t>
      </w:r>
      <w:r w:rsidR="006C7978">
        <w:t xml:space="preserve"> die Modellierung über einen iterativen Prozess</w:t>
      </w:r>
      <w:r w:rsidR="00CE5F2A">
        <w:t xml:space="preserve"> zu gestalten. Die</w:t>
      </w:r>
      <w:r w:rsidR="006C7978">
        <w:t xml:space="preserve"> Ergebnisse </w:t>
      </w:r>
      <w:r w:rsidR="00CE5F2A">
        <w:t xml:space="preserve">der hier beschriebenen, modifizierten Vorgehensweise sollen </w:t>
      </w:r>
      <w:r w:rsidR="006C7978">
        <w:t>in einem ersten Schritt zwischengespeichert werden</w:t>
      </w:r>
      <w:r w:rsidR="00CE5F2A">
        <w:t xml:space="preserve">. Danach soll </w:t>
      </w:r>
      <w:r w:rsidR="0042760A">
        <w:t>eine weitere Anpa</w:t>
      </w:r>
      <w:r w:rsidR="00CE5F2A">
        <w:t>ssung</w:t>
      </w:r>
      <w:r w:rsidR="00BD7596">
        <w:t xml:space="preserve"> hin zu den urs</w:t>
      </w:r>
      <w:r w:rsidR="000B2459">
        <w:t>prünglichen Lastflüssen</w:t>
      </w:r>
      <w:r w:rsidR="00BD7596">
        <w:t xml:space="preserve"> erfolgen. Die Anpassung soll einen</w:t>
      </w:r>
      <w:r w:rsidR="00CE5F2A">
        <w:t xml:space="preserve"> Ausgleich </w:t>
      </w:r>
      <w:r w:rsidR="00BD7596">
        <w:t>dieser internen Leitungsverluste ermöglichen</w:t>
      </w:r>
      <w:r w:rsidR="000B2459">
        <w:t>, beispielsweise durch</w:t>
      </w:r>
      <w:r w:rsidR="00BD7596">
        <w:t xml:space="preserve"> das Einfügen eines entsprechenden Verbrauchers für jede Leitung, wodurch die Verbindungsleitungen im Zellenmodell wirk- und blindleistungsgetreu entsprechend den Originall</w:t>
      </w:r>
      <w:r w:rsidR="004379F5">
        <w:t>eitungen nachgebildet werden sollen</w:t>
      </w:r>
      <w:r w:rsidR="00BD7596">
        <w:t xml:space="preserve">. </w:t>
      </w:r>
    </w:p>
    <w:p w:rsidR="005E4D4F" w:rsidRPr="005E4D4F" w:rsidRDefault="005E4D4F" w:rsidP="00A156E4">
      <w:pPr>
        <w:pStyle w:val="Ueberschrift"/>
      </w:pPr>
      <w:bookmarkStart w:id="1" w:name="_Toc26086066"/>
      <w:bookmarkStart w:id="2" w:name="_Toc68418491"/>
      <w:r w:rsidRPr="005E4D4F">
        <w:t>Literatur</w:t>
      </w:r>
      <w:bookmarkEnd w:id="1"/>
      <w:bookmarkEnd w:id="2"/>
    </w:p>
    <w:p w:rsidR="00572E3D" w:rsidRPr="001E2AFE" w:rsidRDefault="00572E3D" w:rsidP="00572E3D">
      <w:pPr>
        <w:pStyle w:val="Literatur"/>
        <w:rPr>
          <w:lang w:val="en-US"/>
        </w:rPr>
      </w:pPr>
      <w:r>
        <w:t>[1]</w:t>
      </w:r>
      <w:r>
        <w:tab/>
        <w:t>Heimberger, Markus; Kaufmann, Thomas; Maier, Christoph; Nemec-</w:t>
      </w:r>
      <w:proofErr w:type="spellStart"/>
      <w:r>
        <w:t>Begluk</w:t>
      </w:r>
      <w:proofErr w:type="spellEnd"/>
      <w:r>
        <w:t xml:space="preserve">, Sabrina; Winter, Alexander; </w:t>
      </w:r>
      <w:proofErr w:type="spellStart"/>
      <w:r>
        <w:t>Gawlik</w:t>
      </w:r>
      <w:proofErr w:type="spellEnd"/>
      <w:r>
        <w:t xml:space="preserve">, Wolfgang: Energieträgerübergreifende Planung und Analyse von Energiesystemen. </w:t>
      </w:r>
      <w:r w:rsidRPr="001E2AFE">
        <w:rPr>
          <w:lang w:val="en-US"/>
        </w:rPr>
        <w:t xml:space="preserve">In: </w:t>
      </w:r>
      <w:proofErr w:type="spellStart"/>
      <w:r w:rsidRPr="001E2AFE">
        <w:rPr>
          <w:lang w:val="en-US"/>
        </w:rPr>
        <w:t>e&amp;i</w:t>
      </w:r>
      <w:proofErr w:type="spellEnd"/>
      <w:r w:rsidRPr="001E2AFE">
        <w:rPr>
          <w:lang w:val="en-US"/>
        </w:rPr>
        <w:t xml:space="preserve"> </w:t>
      </w:r>
      <w:proofErr w:type="spellStart"/>
      <w:r w:rsidRPr="001E2AFE">
        <w:rPr>
          <w:lang w:val="en-US"/>
        </w:rPr>
        <w:t>Elektrotechnik</w:t>
      </w:r>
      <w:proofErr w:type="spellEnd"/>
      <w:r w:rsidRPr="001E2AFE">
        <w:rPr>
          <w:lang w:val="en-US"/>
        </w:rPr>
        <w:t xml:space="preserve"> und </w:t>
      </w:r>
      <w:proofErr w:type="spellStart"/>
      <w:r w:rsidRPr="001E2AFE">
        <w:rPr>
          <w:lang w:val="en-US"/>
        </w:rPr>
        <w:t>Informationstechnik</w:t>
      </w:r>
      <w:proofErr w:type="spellEnd"/>
      <w:r w:rsidRPr="001E2AFE">
        <w:rPr>
          <w:lang w:val="en-US"/>
        </w:rPr>
        <w:t xml:space="preserve"> 134 (2017), Nr.3, S. 229-237</w:t>
      </w:r>
    </w:p>
    <w:p w:rsidR="00572E3D" w:rsidRPr="001E2AFE" w:rsidRDefault="00572E3D" w:rsidP="00572E3D">
      <w:pPr>
        <w:pStyle w:val="Literatur"/>
        <w:rPr>
          <w:lang w:val="en-US"/>
        </w:rPr>
      </w:pPr>
      <w:r>
        <w:t>[2]</w:t>
      </w:r>
      <w:r>
        <w:tab/>
      </w:r>
      <w:proofErr w:type="spellStart"/>
      <w:r>
        <w:t>Vopava</w:t>
      </w:r>
      <w:proofErr w:type="spellEnd"/>
      <w:r>
        <w:t xml:space="preserve">, Julia; </w:t>
      </w:r>
      <w:proofErr w:type="spellStart"/>
      <w:r>
        <w:t>Böckl</w:t>
      </w:r>
      <w:proofErr w:type="spellEnd"/>
      <w:r>
        <w:t xml:space="preserve">, Benjamin; Kriechbaum, Lukas; Kienberger, Thomas: Anwendung zellularer Ansätze bei der Gestaltung zukünftiger Energieverbundsysteme. </w:t>
      </w:r>
      <w:r w:rsidRPr="001E2AFE">
        <w:rPr>
          <w:lang w:val="en-US"/>
        </w:rPr>
        <w:t xml:space="preserve">In: </w:t>
      </w:r>
      <w:proofErr w:type="spellStart"/>
      <w:r w:rsidRPr="001E2AFE">
        <w:rPr>
          <w:lang w:val="en-US"/>
        </w:rPr>
        <w:t>e&amp;i</w:t>
      </w:r>
      <w:proofErr w:type="spellEnd"/>
      <w:r w:rsidRPr="001E2AFE">
        <w:rPr>
          <w:lang w:val="en-US"/>
        </w:rPr>
        <w:t xml:space="preserve"> </w:t>
      </w:r>
      <w:proofErr w:type="spellStart"/>
      <w:r w:rsidRPr="001E2AFE">
        <w:rPr>
          <w:lang w:val="en-US"/>
        </w:rPr>
        <w:t>Elektrotechnik</w:t>
      </w:r>
      <w:proofErr w:type="spellEnd"/>
      <w:r w:rsidRPr="001E2AFE">
        <w:rPr>
          <w:lang w:val="en-US"/>
        </w:rPr>
        <w:t xml:space="preserve"> und </w:t>
      </w:r>
      <w:proofErr w:type="spellStart"/>
      <w:r w:rsidRPr="001E2AFE">
        <w:rPr>
          <w:lang w:val="en-US"/>
        </w:rPr>
        <w:t>Informationstechnik</w:t>
      </w:r>
      <w:proofErr w:type="spellEnd"/>
      <w:r w:rsidRPr="001E2AFE">
        <w:rPr>
          <w:lang w:val="en-US"/>
        </w:rPr>
        <w:t xml:space="preserve"> 134 (2017), Nr.3, S.238-245</w:t>
      </w:r>
    </w:p>
    <w:p w:rsidR="00572E3D" w:rsidRPr="001E2AFE" w:rsidRDefault="00572E3D" w:rsidP="00572E3D">
      <w:pPr>
        <w:pStyle w:val="Literatur"/>
        <w:rPr>
          <w:lang w:val="en-US"/>
        </w:rPr>
      </w:pPr>
      <w:r>
        <w:rPr>
          <w:lang w:val="en-US"/>
        </w:rPr>
        <w:t>[3</w:t>
      </w:r>
      <w:r w:rsidRPr="001E2AFE">
        <w:rPr>
          <w:lang w:val="en-US"/>
        </w:rPr>
        <w:t>]</w:t>
      </w:r>
      <w:r w:rsidRPr="001E2AFE">
        <w:rPr>
          <w:lang w:val="en-US"/>
        </w:rPr>
        <w:tab/>
      </w:r>
      <w:proofErr w:type="spellStart"/>
      <w:r w:rsidRPr="001E2AFE">
        <w:rPr>
          <w:lang w:val="en-US"/>
        </w:rPr>
        <w:t>Papaemmanouil</w:t>
      </w:r>
      <w:proofErr w:type="spellEnd"/>
      <w:r w:rsidRPr="001E2AFE">
        <w:rPr>
          <w:lang w:val="en-US"/>
        </w:rPr>
        <w:t xml:space="preserve">, </w:t>
      </w:r>
      <w:proofErr w:type="spellStart"/>
      <w:r w:rsidRPr="001E2AFE">
        <w:rPr>
          <w:lang w:val="en-US"/>
        </w:rPr>
        <w:t>Antonis</w:t>
      </w:r>
      <w:proofErr w:type="spellEnd"/>
      <w:r w:rsidRPr="001E2AFE">
        <w:rPr>
          <w:lang w:val="en-US"/>
        </w:rPr>
        <w:t xml:space="preserve"> (</w:t>
      </w:r>
      <w:proofErr w:type="spellStart"/>
      <w:r w:rsidRPr="001E2AFE">
        <w:rPr>
          <w:lang w:val="en-US"/>
        </w:rPr>
        <w:t>Hrsg</w:t>
      </w:r>
      <w:proofErr w:type="spellEnd"/>
      <w:r w:rsidRPr="001E2AFE">
        <w:rPr>
          <w:lang w:val="en-US"/>
        </w:rPr>
        <w:t xml:space="preserve">.); </w:t>
      </w:r>
      <w:proofErr w:type="spellStart"/>
      <w:r w:rsidRPr="001E2AFE">
        <w:rPr>
          <w:lang w:val="en-US"/>
        </w:rPr>
        <w:t>Andersson</w:t>
      </w:r>
      <w:proofErr w:type="spellEnd"/>
      <w:r w:rsidRPr="001E2AFE">
        <w:rPr>
          <w:lang w:val="en-US"/>
        </w:rPr>
        <w:t xml:space="preserve">, </w:t>
      </w:r>
      <w:proofErr w:type="spellStart"/>
      <w:r w:rsidRPr="001E2AFE">
        <w:rPr>
          <w:lang w:val="en-US"/>
        </w:rPr>
        <w:t>Göran</w:t>
      </w:r>
      <w:proofErr w:type="spellEnd"/>
      <w:r w:rsidRPr="001E2AFE">
        <w:rPr>
          <w:lang w:val="en-US"/>
        </w:rPr>
        <w:t xml:space="preserve"> (</w:t>
      </w:r>
      <w:proofErr w:type="spellStart"/>
      <w:r w:rsidRPr="001E2AFE">
        <w:rPr>
          <w:lang w:val="en-US"/>
        </w:rPr>
        <w:t>Hrsg</w:t>
      </w:r>
      <w:proofErr w:type="spellEnd"/>
      <w:r w:rsidRPr="001E2AFE">
        <w:rPr>
          <w:lang w:val="en-US"/>
        </w:rPr>
        <w:t>.): On the reduction of large power system models for power market simulations, 2011</w:t>
      </w:r>
    </w:p>
    <w:p w:rsidR="00572E3D" w:rsidRDefault="00572E3D" w:rsidP="00572E3D">
      <w:pPr>
        <w:pStyle w:val="Literatur"/>
        <w:rPr>
          <w:lang w:val="en-US"/>
        </w:rPr>
      </w:pPr>
      <w:r>
        <w:rPr>
          <w:lang w:val="en-US"/>
        </w:rPr>
        <w:lastRenderedPageBreak/>
        <w:t>[4]</w:t>
      </w:r>
      <w:r w:rsidRPr="001E2AFE">
        <w:rPr>
          <w:lang w:val="en-US"/>
        </w:rPr>
        <w:tab/>
      </w:r>
      <w:proofErr w:type="spellStart"/>
      <w:r w:rsidRPr="001E2AFE">
        <w:rPr>
          <w:lang w:val="en-US"/>
        </w:rPr>
        <w:t>Deckmann</w:t>
      </w:r>
      <w:proofErr w:type="spellEnd"/>
      <w:r w:rsidRPr="001E2AFE">
        <w:rPr>
          <w:lang w:val="en-US"/>
        </w:rPr>
        <w:t xml:space="preserve">, S.; </w:t>
      </w:r>
      <w:proofErr w:type="spellStart"/>
      <w:r w:rsidRPr="001E2AFE">
        <w:rPr>
          <w:lang w:val="en-US"/>
        </w:rPr>
        <w:t>Pizzolante</w:t>
      </w:r>
      <w:proofErr w:type="spellEnd"/>
      <w:r w:rsidRPr="001E2AFE">
        <w:rPr>
          <w:lang w:val="en-US"/>
        </w:rPr>
        <w:t xml:space="preserve">, A.; </w:t>
      </w:r>
      <w:proofErr w:type="spellStart"/>
      <w:r w:rsidRPr="001E2AFE">
        <w:rPr>
          <w:lang w:val="en-US"/>
        </w:rPr>
        <w:t>Monticelli</w:t>
      </w:r>
      <w:proofErr w:type="spellEnd"/>
      <w:r w:rsidRPr="001E2AFE">
        <w:rPr>
          <w:lang w:val="en-US"/>
        </w:rPr>
        <w:t xml:space="preserve">, A.; Stott, B; </w:t>
      </w:r>
      <w:proofErr w:type="spellStart"/>
      <w:r w:rsidRPr="001E2AFE">
        <w:rPr>
          <w:lang w:val="en-US"/>
        </w:rPr>
        <w:t>Alsac</w:t>
      </w:r>
      <w:proofErr w:type="spellEnd"/>
      <w:r w:rsidRPr="001E2AFE">
        <w:rPr>
          <w:lang w:val="en-US"/>
        </w:rPr>
        <w:t xml:space="preserve">, O.: Studies on Power System Load Flow </w:t>
      </w:r>
      <w:proofErr w:type="spellStart"/>
      <w:r w:rsidRPr="001E2AFE">
        <w:rPr>
          <w:lang w:val="en-US"/>
        </w:rPr>
        <w:t>Equivalencing</w:t>
      </w:r>
      <w:proofErr w:type="spellEnd"/>
      <w:r w:rsidRPr="001E2AFE">
        <w:rPr>
          <w:lang w:val="en-US"/>
        </w:rPr>
        <w:t>. In: IEEE Transactions on Power Apparatus and Systems PAS-99 (1980), Nr.6, S.2301-2310</w:t>
      </w:r>
    </w:p>
    <w:p w:rsidR="00572E3D" w:rsidRPr="00CE5F2A" w:rsidRDefault="00572E3D" w:rsidP="00CE5F2A">
      <w:pPr>
        <w:pStyle w:val="Literatur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Gavrilas</w:t>
      </w:r>
      <w:proofErr w:type="spellEnd"/>
      <w:r>
        <w:rPr>
          <w:lang w:val="en-US"/>
        </w:rPr>
        <w:t xml:space="preserve">, Mihai; Ivanov, </w:t>
      </w:r>
      <w:proofErr w:type="spellStart"/>
      <w:r>
        <w:rPr>
          <w:lang w:val="en-US"/>
        </w:rPr>
        <w:t>Ovidiu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Gavrilas</w:t>
      </w:r>
      <w:proofErr w:type="spellEnd"/>
      <w:r>
        <w:rPr>
          <w:lang w:val="en-US"/>
        </w:rPr>
        <w:t>, Gilda: REI Equivalent Design for Electric Power Systems with Genetic Algorithms. In: WSEAS TRANSACTIONS on Circuits &amp; Systems 10 (2008), Nr.7, S.911-921</w:t>
      </w:r>
    </w:p>
    <w:sectPr w:rsidR="00572E3D" w:rsidRPr="00CE5F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7F" w:rsidRDefault="00061D7F">
      <w:r>
        <w:separator/>
      </w:r>
    </w:p>
  </w:endnote>
  <w:endnote w:type="continuationSeparator" w:id="0">
    <w:p w:rsidR="00061D7F" w:rsidRDefault="0006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7F" w:rsidRDefault="00061D7F">
      <w:r>
        <w:separator/>
      </w:r>
    </w:p>
  </w:footnote>
  <w:footnote w:type="continuationSeparator" w:id="0">
    <w:p w:rsidR="00061D7F" w:rsidRDefault="00061D7F">
      <w:r>
        <w:continuationSeparator/>
      </w:r>
    </w:p>
  </w:footnote>
  <w:footnote w:id="1">
    <w:p w:rsidR="00631945" w:rsidRPr="00FB69AE" w:rsidRDefault="00631945" w:rsidP="00631945">
      <w:pPr>
        <w:jc w:val="left"/>
      </w:pPr>
      <w:r w:rsidRPr="00A115D2">
        <w:rPr>
          <w:rStyle w:val="Funotenzeichen"/>
        </w:rPr>
        <w:footnoteRef/>
      </w:r>
      <w:r w:rsidRPr="00D53E86">
        <w:t xml:space="preserve"> </w:t>
      </w:r>
      <w:r>
        <w:t xml:space="preserve">Jungautorin, Franz-Josef-Straße 18, 8700 Leoben, Tel.: +43 3842 402 5414, </w:t>
      </w:r>
      <w:r>
        <w:br/>
        <w:t>E-Mail: anna.traupmann@unileoben.ac.at, Web: evt.unileoben.ac.at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71F"/>
    <w:multiLevelType w:val="multilevel"/>
    <w:tmpl w:val="0978BA90"/>
    <w:numStyleLink w:val="Aufzhlung"/>
  </w:abstractNum>
  <w:abstractNum w:abstractNumId="1" w15:restartNumberingAfterBreak="0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75967"/>
    <w:multiLevelType w:val="multilevel"/>
    <w:tmpl w:val="0978BA90"/>
    <w:numStyleLink w:val="Aufzhlung"/>
  </w:abstractNum>
  <w:abstractNum w:abstractNumId="3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4F"/>
    <w:rsid w:val="00010E92"/>
    <w:rsid w:val="00061D7F"/>
    <w:rsid w:val="00082F9F"/>
    <w:rsid w:val="000B2459"/>
    <w:rsid w:val="00110799"/>
    <w:rsid w:val="00167FDE"/>
    <w:rsid w:val="002014D3"/>
    <w:rsid w:val="00227125"/>
    <w:rsid w:val="002544B7"/>
    <w:rsid w:val="00262FD5"/>
    <w:rsid w:val="002946B8"/>
    <w:rsid w:val="00350F98"/>
    <w:rsid w:val="00351947"/>
    <w:rsid w:val="00380723"/>
    <w:rsid w:val="003A7534"/>
    <w:rsid w:val="003B676F"/>
    <w:rsid w:val="003C28FE"/>
    <w:rsid w:val="0042760A"/>
    <w:rsid w:val="004379F5"/>
    <w:rsid w:val="004427A0"/>
    <w:rsid w:val="00483B87"/>
    <w:rsid w:val="004D2865"/>
    <w:rsid w:val="00503E90"/>
    <w:rsid w:val="00541D34"/>
    <w:rsid w:val="00572E3D"/>
    <w:rsid w:val="005B1ADB"/>
    <w:rsid w:val="005E4D4F"/>
    <w:rsid w:val="0060118B"/>
    <w:rsid w:val="00631945"/>
    <w:rsid w:val="0067744D"/>
    <w:rsid w:val="006C7978"/>
    <w:rsid w:val="007378C8"/>
    <w:rsid w:val="00741EC0"/>
    <w:rsid w:val="007E1342"/>
    <w:rsid w:val="00803917"/>
    <w:rsid w:val="00857D0F"/>
    <w:rsid w:val="008648C4"/>
    <w:rsid w:val="009C29F2"/>
    <w:rsid w:val="00A07737"/>
    <w:rsid w:val="00A156E4"/>
    <w:rsid w:val="00A15D3D"/>
    <w:rsid w:val="00A6148D"/>
    <w:rsid w:val="00A8402B"/>
    <w:rsid w:val="00AC0A2C"/>
    <w:rsid w:val="00B22C3D"/>
    <w:rsid w:val="00BD628B"/>
    <w:rsid w:val="00BD7596"/>
    <w:rsid w:val="00BF05FA"/>
    <w:rsid w:val="00CE1A70"/>
    <w:rsid w:val="00CE5F2A"/>
    <w:rsid w:val="00D27C83"/>
    <w:rsid w:val="00D53E86"/>
    <w:rsid w:val="00D736F8"/>
    <w:rsid w:val="00E520E6"/>
    <w:rsid w:val="00E6792A"/>
    <w:rsid w:val="00F3683B"/>
    <w:rsid w:val="00F41344"/>
    <w:rsid w:val="00FB69AE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571BFE86"/>
  <w15:chartTrackingRefBased/>
  <w15:docId w15:val="{A810C256-639D-469B-89E5-AC1CB925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val="de-DE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544B7"/>
    <w:rPr>
      <w:color w:val="808080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5283-A113-402E-BE0F-C6A3E53F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6492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TU-Wien Campuslizenz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Gerald</dc:creator>
  <cp:keywords/>
  <cp:lastModifiedBy>Anna Traupmann</cp:lastModifiedBy>
  <cp:revision>17</cp:revision>
  <dcterms:created xsi:type="dcterms:W3CDTF">2018-10-31T15:13:00Z</dcterms:created>
  <dcterms:modified xsi:type="dcterms:W3CDTF">2018-11-02T07:53:00Z</dcterms:modified>
</cp:coreProperties>
</file>